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venir Book" w:hAnsi="Avenir Book"/>
          <w:b/>
        </w:rPr>
      </w:pPr>
      <w:r>
        <w:rPr>
          <w:rFonts w:ascii="Avenir Book" w:hAnsi="Avenir Book"/>
          <w:b/>
        </w:rPr>
        <w:t xml:space="preserve">CONVENZIONE </w:t>
      </w:r>
    </w:p>
    <w:p>
      <w:pPr>
        <w:pStyle w:val="Normal"/>
        <w:jc w:val="center"/>
        <w:rPr>
          <w:rFonts w:ascii="Avenir Book" w:hAnsi="Avenir Book"/>
          <w:b/>
        </w:rPr>
      </w:pPr>
      <w:r>
        <w:rPr/>
      </w:r>
    </w:p>
    <w:p>
      <w:pPr>
        <w:pStyle w:val="Normal"/>
        <w:jc w:val="center"/>
        <w:rPr>
          <w:rFonts w:ascii="Avenir Book" w:hAnsi="Avenir Book"/>
          <w:b/>
        </w:rPr>
      </w:pPr>
      <w:r>
        <w:rPr>
          <w:rFonts w:ascii="Avenir Book" w:hAnsi="Avenir Book"/>
          <w:b/>
        </w:rPr>
        <w:t>TRA</w:t>
      </w:r>
    </w:p>
    <w:p>
      <w:pPr>
        <w:pStyle w:val="Normal"/>
        <w:jc w:val="center"/>
        <w:rPr>
          <w:rFonts w:ascii="Avenir Book" w:hAnsi="Avenir Book"/>
          <w:b/>
        </w:rPr>
      </w:pPr>
      <w:r>
        <w:rPr>
          <w:rFonts w:ascii="Avenir Book" w:hAnsi="Avenir Book"/>
        </w:rPr>
      </w:r>
    </w:p>
    <w:p>
      <w:pPr>
        <w:pStyle w:val="Normal"/>
        <w:jc w:val="both"/>
        <w:rPr>
          <w:rFonts w:ascii="Avenir Book" w:hAnsi="Avenir Book"/>
        </w:rPr>
      </w:pPr>
      <w:r>
        <w:rPr>
          <w:rFonts w:ascii="Avenir Book" w:hAnsi="Avenir Book"/>
          <w:b/>
          <w:u w:val="single"/>
        </w:rPr>
        <w:t>Il Consorzio Servizi Sociali dell’Olgiatese</w:t>
      </w:r>
      <w:r>
        <w:rPr>
          <w:rFonts w:ascii="Avenir Book" w:hAnsi="Avenir Book"/>
        </w:rPr>
        <w:t>, avente sede in Olgiate Comasco, Piazza Volta 1, C.F. e P.IVA 02793530136, rappresentato da ………………………………. nella sua qualità di Direttore, domiciliato per la carica presso la sede consortile (in seguito, per brevità, “CONSORZIO”),</w:t>
      </w:r>
    </w:p>
    <w:p>
      <w:pPr>
        <w:pStyle w:val="Normal"/>
        <w:jc w:val="center"/>
        <w:rPr>
          <w:rFonts w:ascii="Avenir Book" w:hAnsi="Avenir Book"/>
        </w:rPr>
      </w:pPr>
      <w:r>
        <w:rPr>
          <w:rFonts w:ascii="Avenir Book" w:hAnsi="Avenir Book"/>
        </w:rPr>
        <w:t>E</w:t>
      </w:r>
    </w:p>
    <w:p>
      <w:pPr>
        <w:pStyle w:val="Normal"/>
        <w:jc w:val="center"/>
        <w:rPr>
          <w:rFonts w:ascii="Avenir Book" w:hAnsi="Avenir Book"/>
        </w:rPr>
      </w:pPr>
      <w:r>
        <w:rPr>
          <w:rFonts w:ascii="Avenir Book" w:hAnsi="Avenir Book"/>
        </w:rPr>
      </w:r>
    </w:p>
    <w:p>
      <w:pPr>
        <w:pStyle w:val="Normal"/>
        <w:jc w:val="both"/>
        <w:rPr>
          <w:rFonts w:ascii="Avenir Book" w:hAnsi="Avenir Book"/>
        </w:rPr>
      </w:pPr>
      <w:r>
        <w:rPr>
          <w:rFonts w:ascii="Avenir Book" w:hAnsi="Avenir Book"/>
          <w:b/>
          <w:u w:val="single"/>
        </w:rPr>
        <w:t>Il Comune di Malnate</w:t>
      </w:r>
      <w:r>
        <w:rPr>
          <w:rFonts w:ascii="Avenir Book" w:hAnsi="Avenir Book"/>
        </w:rPr>
        <w:t xml:space="preserve">, avente sede a ___________________in via _____________________________, rappresentato da__________________________________, in qualità di </w:t>
      </w:r>
      <w:r>
        <w:rPr>
          <w:rFonts w:ascii="Avenir Book" w:hAnsi="Avenir Book"/>
          <w:b/>
        </w:rPr>
        <w:t>_____________________________ .</w:t>
      </w:r>
    </w:p>
    <w:p>
      <w:pPr>
        <w:pStyle w:val="Normal"/>
        <w:jc w:val="both"/>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per la regolamentazione dell’inserimento di una minore con disabilità presso il CSE “Casa di Paolo e Piera”, avente sede ad Olgiate Comasco in via Momo 1/A, e il conseguente onere economico</w:t>
      </w:r>
    </w:p>
    <w:p>
      <w:pPr>
        <w:pStyle w:val="Normal"/>
        <w:jc w:val="both"/>
        <w:rPr>
          <w:rFonts w:ascii="Avenir Book" w:hAnsi="Avenir Book"/>
        </w:rPr>
      </w:pPr>
      <w:r>
        <w:rPr>
          <w:rFonts w:ascii="Avenir Book" w:hAnsi="Avenir Book"/>
        </w:rPr>
      </w:r>
    </w:p>
    <w:p>
      <w:pPr>
        <w:pStyle w:val="Normal"/>
        <w:jc w:val="center"/>
        <w:rPr>
          <w:rFonts w:ascii="Avenir Book" w:hAnsi="Avenir Book"/>
          <w:b/>
          <w:u w:val="single"/>
        </w:rPr>
      </w:pPr>
      <w:r>
        <w:rPr>
          <w:rFonts w:ascii="Avenir Book" w:hAnsi="Avenir Book"/>
          <w:b/>
          <w:u w:val="single"/>
        </w:rPr>
        <w:t>SI CONVIENE E SI STIPULA QUANTO SEGUE:</w:t>
      </w:r>
    </w:p>
    <w:p>
      <w:pPr>
        <w:pStyle w:val="Normal"/>
        <w:jc w:val="center"/>
        <w:rPr>
          <w:rFonts w:ascii="Avenir Book" w:hAnsi="Avenir Book"/>
          <w:b/>
        </w:rPr>
      </w:pPr>
      <w:r>
        <w:rPr>
          <w:rFonts w:ascii="Avenir Book" w:hAnsi="Avenir Book"/>
          <w:b/>
        </w:rPr>
      </w:r>
    </w:p>
    <w:p>
      <w:pPr>
        <w:pStyle w:val="Normal"/>
        <w:jc w:val="center"/>
        <w:rPr>
          <w:rFonts w:ascii="Avenir Book" w:hAnsi="Avenir Book"/>
        </w:rPr>
      </w:pPr>
      <w:r>
        <w:rPr>
          <w:rFonts w:ascii="Avenir Book" w:hAnsi="Avenir Book"/>
        </w:rPr>
        <w:t>ART.1</w:t>
      </w:r>
    </w:p>
    <w:p>
      <w:pPr>
        <w:pStyle w:val="Normal"/>
        <w:jc w:val="center"/>
        <w:rPr>
          <w:rFonts w:ascii="Avenir Book" w:hAnsi="Avenir Book"/>
        </w:rPr>
      </w:pPr>
      <w:r>
        <w:rPr/>
      </w:r>
    </w:p>
    <w:p>
      <w:pPr>
        <w:pStyle w:val="Normal"/>
        <w:jc w:val="both"/>
        <w:rPr>
          <w:rFonts w:ascii="Avenir Book" w:hAnsi="Avenir Book"/>
        </w:rPr>
      </w:pPr>
      <w:r>
        <w:rPr>
          <w:rFonts w:ascii="Avenir Book" w:hAnsi="Avenir Book"/>
        </w:rPr>
        <w:t>L’Azienda Speciale Consortile “Consorzio Servizi Sociali dell’Olgiatese”, a seguito della richiesta ricevuta dai servizi sociali comunali e del progetto personalizzato progettato, si impegna ad accogliere presso il Centro Socio Educativo “Casa di Paolo e Piera”, provvedendo a tutte le prestazioni previste dalla D.G.R. n. 20763 e n. 20943 del 16 febbraio 2005 (definizione requisiti unità d’offerta regionale), il minore ………………………………………………………..</w:t>
      </w:r>
    </w:p>
    <w:p>
      <w:pPr>
        <w:pStyle w:val="Normal"/>
        <w:jc w:val="both"/>
        <w:rPr>
          <w:rFonts w:ascii="Avenir Book" w:hAnsi="Avenir Book"/>
        </w:rPr>
      </w:pPr>
      <w:r>
        <w:rPr>
          <w:rFonts w:ascii="Avenir Book" w:hAnsi="Avenir Book"/>
        </w:rPr>
        <w:t>A conferma di quanto sopra, il Consorzio risulta adempiente agli adempimenti previsti dalla normativa citata, a seguito di CPE (Comunicazione Preventiva di Esercizio) del 10/09/2013 e del 18/01/2016 e confermata dalle successive ispezioni di vigilanza della ATS Insubria.</w:t>
      </w:r>
    </w:p>
    <w:p>
      <w:pPr>
        <w:pStyle w:val="Normal"/>
        <w:jc w:val="both"/>
        <w:rPr>
          <w:rFonts w:ascii="Avenir Book" w:hAnsi="Avenir Book"/>
        </w:rPr>
      </w:pPr>
      <w:r>
        <w:rPr>
          <w:rFonts w:ascii="Avenir Book" w:hAnsi="Avenir Book"/>
        </w:rPr>
      </w:r>
    </w:p>
    <w:p>
      <w:pPr>
        <w:pStyle w:val="Normal"/>
        <w:jc w:val="center"/>
        <w:rPr>
          <w:rFonts w:ascii="Avenir Book" w:hAnsi="Avenir Book"/>
        </w:rPr>
      </w:pPr>
      <w:r>
        <w:rPr>
          <w:rFonts w:ascii="Avenir Book" w:hAnsi="Avenir Book"/>
        </w:rPr>
        <w:t xml:space="preserve">ART. 2 </w:t>
      </w:r>
    </w:p>
    <w:p>
      <w:pPr>
        <w:pStyle w:val="Normal"/>
        <w:jc w:val="center"/>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Il Comune di Malnate inviante deve garantire un impegno economico per il pagamento della retta di frequenza. Sono comprese nella stessa tutte le prestazioni erogate presso la struttura o che si rendessero necessarie ai fini dell’attuazione del Progetto Individualizzato (PI) e i pasti consumati nell’orario di frequenza. Non è compreso il servizio di trasporto dal domicilio del disabile al Centro e ritorno.</w:t>
      </w:r>
    </w:p>
    <w:p>
      <w:pPr>
        <w:pStyle w:val="Normal"/>
        <w:jc w:val="center"/>
        <w:rPr>
          <w:rFonts w:ascii="Avenir Book" w:hAnsi="Avenir Book"/>
        </w:rPr>
      </w:pPr>
      <w:r>
        <w:rPr>
          <w:rFonts w:ascii="Avenir Book" w:hAnsi="Avenir Book"/>
        </w:rPr>
      </w:r>
    </w:p>
    <w:p>
      <w:pPr>
        <w:pStyle w:val="Normal"/>
        <w:jc w:val="center"/>
        <w:rPr>
          <w:rFonts w:ascii="Avenir Book" w:hAnsi="Avenir Book"/>
        </w:rPr>
      </w:pPr>
      <w:r>
        <w:rPr>
          <w:rFonts w:ascii="Avenir Book" w:hAnsi="Avenir Book"/>
        </w:rPr>
        <w:t>ART. 3</w:t>
      </w:r>
    </w:p>
    <w:p>
      <w:pPr>
        <w:pStyle w:val="Normal"/>
        <w:jc w:val="both"/>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Dalla data di inserimento dell’utente decorre un periodo di osservazione della durata di quaranta giorni (gg. 40) per la valutazione clinica ed educativa del caso. Al termine di tale periodo viene stilato un Progetto Individualizzato (P.I.) che verrà condiviso con l’Ente Inviante e con la famiglia. Qualora non si verificassero i presupposti per la stesura del P.I., il Comune di Malnate si impegna a ricollocare in idonea struttura l’utente, nel più breve tempo possibile, quantificabile in giorni trenta (gg.30) dalla comunicazione delle dimissioni.</w:t>
      </w:r>
    </w:p>
    <w:p>
      <w:pPr>
        <w:pStyle w:val="Normal"/>
        <w:jc w:val="center"/>
        <w:rPr>
          <w:rFonts w:ascii="Avenir Book" w:hAnsi="Avenir Book"/>
        </w:rPr>
      </w:pPr>
      <w:r>
        <w:rPr>
          <w:rFonts w:ascii="Avenir Book" w:hAnsi="Avenir Book"/>
        </w:rPr>
      </w:r>
    </w:p>
    <w:p>
      <w:pPr>
        <w:pStyle w:val="Normal"/>
        <w:jc w:val="center"/>
        <w:rPr>
          <w:rFonts w:ascii="Avenir Book" w:hAnsi="Avenir Book"/>
        </w:rPr>
      </w:pPr>
      <w:r>
        <w:rPr>
          <w:rFonts w:ascii="Avenir Book" w:hAnsi="Avenir Book"/>
        </w:rPr>
        <w:t>ART.4</w:t>
      </w:r>
    </w:p>
    <w:p>
      <w:pPr>
        <w:pStyle w:val="Normal"/>
        <w:jc w:val="both"/>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Per la realizzazione delle prestazioni di cui all’art.2 e considerata una frequenza dell’utente a tempo pieno il Comune di Malnate si impegna a versare una quota mensile onnicomprensiva di €1.628,</w:t>
      </w:r>
      <w:r>
        <w:rPr>
          <w:rFonts w:ascii="Avenir Book" w:hAnsi="Avenir Book"/>
        </w:rPr>
        <w:t>00</w:t>
      </w:r>
      <w:r>
        <w:rPr>
          <w:rFonts w:ascii="Avenir Book" w:hAnsi="Avenir Book"/>
        </w:rPr>
        <w:t xml:space="preserve"> (</w:t>
      </w:r>
      <w:r>
        <w:rPr>
          <w:rFonts w:ascii="Avenir Book" w:hAnsi="Avenir Book"/>
          <w:i/>
        </w:rPr>
        <w:t>milleseicentoventotto</w:t>
      </w:r>
      <w:r>
        <w:rPr>
          <w:rFonts w:ascii="Avenir Book" w:hAnsi="Avenir Book"/>
        </w:rPr>
        <w:t>) da versare  tramite bonifico (il bollo di legge sarà applicato sulla fattura).</w:t>
      </w:r>
    </w:p>
    <w:p>
      <w:pPr>
        <w:pStyle w:val="Normal"/>
        <w:jc w:val="both"/>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 xml:space="preserve">La fatturazione delle rette avverrà nelle seguenti date: </w:t>
      </w:r>
    </w:p>
    <w:p>
      <w:pPr>
        <w:pStyle w:val="Normal"/>
        <w:jc w:val="both"/>
        <w:rPr>
          <w:rFonts w:ascii="Avenir Book" w:hAnsi="Avenir Book"/>
        </w:rPr>
      </w:pPr>
      <w:r>
        <w:rPr>
          <w:rFonts w:ascii="Avenir Book" w:hAnsi="Avenir Book"/>
        </w:rPr>
        <w:t>- 28.02 (mesi gennaio e febbraio)</w:t>
      </w:r>
    </w:p>
    <w:p>
      <w:pPr>
        <w:pStyle w:val="Normal"/>
        <w:jc w:val="both"/>
        <w:rPr>
          <w:rFonts w:ascii="Avenir Book" w:hAnsi="Avenir Book"/>
        </w:rPr>
      </w:pPr>
      <w:r>
        <w:rPr>
          <w:rFonts w:ascii="Avenir Book" w:hAnsi="Avenir Book"/>
        </w:rPr>
        <w:t>- 30.04 (mesi marzo e aprile)</w:t>
      </w:r>
    </w:p>
    <w:p>
      <w:pPr>
        <w:pStyle w:val="Normal"/>
        <w:jc w:val="both"/>
        <w:rPr>
          <w:rFonts w:ascii="Avenir Book" w:hAnsi="Avenir Book"/>
        </w:rPr>
      </w:pPr>
      <w:r>
        <w:rPr>
          <w:rFonts w:ascii="Avenir Book" w:hAnsi="Avenir Book"/>
        </w:rPr>
        <w:t>- 31.07 (mesi di maggio, giugno e luglio)</w:t>
      </w:r>
    </w:p>
    <w:p>
      <w:pPr>
        <w:pStyle w:val="Normal"/>
        <w:jc w:val="both"/>
        <w:rPr>
          <w:rFonts w:ascii="Avenir Book" w:hAnsi="Avenir Book"/>
        </w:rPr>
      </w:pPr>
      <w:r>
        <w:rPr>
          <w:rFonts w:ascii="Avenir Book" w:hAnsi="Avenir Book"/>
        </w:rPr>
        <w:t xml:space="preserve">- 31.10 (mesi di settembre e ottobre) </w:t>
      </w:r>
    </w:p>
    <w:p>
      <w:pPr>
        <w:pStyle w:val="Normal"/>
        <w:jc w:val="both"/>
        <w:rPr>
          <w:rFonts w:ascii="Avenir Book" w:hAnsi="Avenir Book"/>
        </w:rPr>
      </w:pPr>
      <w:r>
        <w:rPr>
          <w:rFonts w:ascii="Avenir Book" w:hAnsi="Avenir Book"/>
        </w:rPr>
        <w:t xml:space="preserve">- 31.12 (mesi di novembre e dicembre) </w:t>
      </w:r>
    </w:p>
    <w:p>
      <w:pPr>
        <w:pStyle w:val="Normal"/>
        <w:jc w:val="both"/>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La quota per la retta potrà essere oggetto di revisione annuale, previa comunicazione scritta.</w:t>
      </w:r>
    </w:p>
    <w:p>
      <w:pPr>
        <w:pStyle w:val="Normal"/>
        <w:jc w:val="both"/>
        <w:rPr>
          <w:rFonts w:ascii="Avenir Book" w:hAnsi="Avenir Book"/>
        </w:rPr>
      </w:pPr>
      <w:r>
        <w:rPr>
          <w:rFonts w:ascii="Avenir Book" w:hAnsi="Avenir Book"/>
        </w:rPr>
        <w:t>La presente convenzione ha validità per l’anno formativo 2024-2025, rinnovabile con consenso esplicito delle parti per un ulteriore anno formativo 2025-2026 e decade in caso di dimissione, fatto salvo il solo adeguamento delle rette secondo gli indici ISTAT.</w:t>
      </w:r>
    </w:p>
    <w:p>
      <w:pPr>
        <w:pStyle w:val="Normal"/>
        <w:jc w:val="both"/>
        <w:rPr>
          <w:rFonts w:ascii="Avenir Book" w:hAnsi="Avenir Book"/>
        </w:rPr>
      </w:pPr>
      <w:r>
        <w:rPr>
          <w:rFonts w:ascii="Avenir Book" w:hAnsi="Avenir Book"/>
        </w:rPr>
      </w:r>
    </w:p>
    <w:p>
      <w:pPr>
        <w:pStyle w:val="Normal"/>
        <w:jc w:val="center"/>
        <w:rPr>
          <w:rFonts w:ascii="Avenir Book" w:hAnsi="Avenir Book"/>
        </w:rPr>
      </w:pPr>
      <w:r>
        <w:rPr>
          <w:rFonts w:ascii="Avenir Book" w:hAnsi="Avenir Book"/>
        </w:rPr>
        <w:t>ART. 5</w:t>
      </w:r>
    </w:p>
    <w:p>
      <w:pPr>
        <w:pStyle w:val="Normal"/>
        <w:jc w:val="center"/>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Presso il Centro frequentato dall’utente vengono organizzate delle riunioni di aggiornamento tra l’equipe multidisciplinare del CSE e i servizi sociali comunali. Tali riunioni hanno frequenza variabile in relazione alla situazione soggettiva, alla situazione famigliare e alla evoluzione del progetto comunque annuale.</w:t>
      </w:r>
    </w:p>
    <w:p>
      <w:pPr>
        <w:pStyle w:val="Normal"/>
        <w:jc w:val="center"/>
        <w:rPr>
          <w:rFonts w:ascii="Avenir Book" w:hAnsi="Avenir Book"/>
        </w:rPr>
      </w:pPr>
      <w:r>
        <w:rPr>
          <w:rFonts w:ascii="Avenir Book" w:hAnsi="Avenir Book"/>
        </w:rPr>
      </w:r>
    </w:p>
    <w:p>
      <w:pPr>
        <w:pStyle w:val="Normal"/>
        <w:jc w:val="center"/>
        <w:rPr>
          <w:rFonts w:ascii="Avenir Book" w:hAnsi="Avenir Book"/>
        </w:rPr>
      </w:pPr>
      <w:r>
        <w:rPr>
          <w:rFonts w:ascii="Avenir Book" w:hAnsi="Avenir Book"/>
        </w:rPr>
        <w:t>ART.6</w:t>
      </w:r>
    </w:p>
    <w:p>
      <w:pPr>
        <w:pStyle w:val="Normal"/>
        <w:jc w:val="center"/>
        <w:rPr>
          <w:rFonts w:ascii="Avenir Book" w:hAnsi="Avenir Book"/>
        </w:rPr>
      </w:pPr>
      <w:r>
        <w:rPr>
          <w:rFonts w:ascii="Avenir Book" w:hAnsi="Avenir Book"/>
        </w:rPr>
      </w:r>
    </w:p>
    <w:p>
      <w:pPr>
        <w:pStyle w:val="Normal"/>
        <w:rPr>
          <w:rFonts w:ascii="Avenir Book" w:hAnsi="Avenir Book"/>
        </w:rPr>
      </w:pPr>
      <w:r>
        <w:rPr>
          <w:rFonts w:ascii="Avenir Book" w:hAnsi="Avenir Book"/>
        </w:rPr>
        <w:t xml:space="preserve">In caso di dimissioni anticipate rispetto alla durata della Convenzione stessa è necessario comunicarle formalmente alla struttura almeno 10 giorni prima dell’effettiva data della dimissione. </w:t>
      </w:r>
    </w:p>
    <w:p>
      <w:pPr>
        <w:pStyle w:val="Normal"/>
        <w:rPr>
          <w:rFonts w:ascii="Avenir Book" w:hAnsi="Avenir Book"/>
        </w:rPr>
      </w:pPr>
      <w:r>
        <w:rPr>
          <w:rFonts w:ascii="Avenir Book" w:hAnsi="Avenir Book"/>
        </w:rPr>
      </w:r>
    </w:p>
    <w:p>
      <w:pPr>
        <w:pStyle w:val="Normal"/>
        <w:jc w:val="center"/>
        <w:rPr>
          <w:rFonts w:ascii="Avenir Book" w:hAnsi="Avenir Book"/>
        </w:rPr>
      </w:pPr>
      <w:r>
        <w:rPr>
          <w:rFonts w:ascii="Avenir Book" w:hAnsi="Avenir Book"/>
        </w:rPr>
        <w:t>ART.7</w:t>
      </w:r>
    </w:p>
    <w:p>
      <w:pPr>
        <w:pStyle w:val="Normal"/>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Il Comune si impegna ad identificare un referente, di norma nella figura dell’Assistente Sociale, un recapito telefonico, un numero di fax e un indirizzo mail, per eventuali comunicazioni o urgenze.</w:t>
      </w:r>
    </w:p>
    <w:p>
      <w:pPr>
        <w:pStyle w:val="Normal"/>
        <w:jc w:val="center"/>
        <w:rPr>
          <w:rFonts w:ascii="Avenir Book" w:hAnsi="Avenir Book"/>
        </w:rPr>
      </w:pPr>
      <w:r>
        <w:rPr/>
      </w:r>
    </w:p>
    <w:p>
      <w:pPr>
        <w:pStyle w:val="Normal"/>
        <w:jc w:val="center"/>
        <w:rPr>
          <w:rFonts w:ascii="Avenir Book" w:hAnsi="Avenir Book"/>
        </w:rPr>
      </w:pPr>
      <w:r>
        <w:rPr>
          <w:rFonts w:ascii="Avenir Book" w:hAnsi="Avenir Book"/>
        </w:rPr>
        <w:t>ART.8</w:t>
      </w:r>
    </w:p>
    <w:p>
      <w:pPr>
        <w:pStyle w:val="Normal"/>
        <w:jc w:val="center"/>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Per ogni e qualsiasi controversia nascente dalla Convenzione sarà esclusivamente competente il foro di Como.</w:t>
      </w:r>
    </w:p>
    <w:p>
      <w:pPr>
        <w:pStyle w:val="Normal"/>
        <w:jc w:val="both"/>
        <w:rPr>
          <w:rFonts w:ascii="Avenir Book" w:hAnsi="Avenir Book"/>
        </w:rPr>
      </w:pPr>
      <w:r>
        <w:rPr>
          <w:rFonts w:ascii="Avenir Book" w:hAnsi="Avenir Book"/>
        </w:rPr>
      </w:r>
    </w:p>
    <w:p>
      <w:pPr>
        <w:pStyle w:val="Normal"/>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Letto, approvato, sottoscritto</w:t>
      </w:r>
    </w:p>
    <w:p>
      <w:pPr>
        <w:pStyle w:val="Normal"/>
        <w:jc w:val="both"/>
        <w:rPr>
          <w:rFonts w:ascii="Avenir Book" w:hAnsi="Avenir Book"/>
        </w:rPr>
      </w:pPr>
      <w:r>
        <w:rPr>
          <w:rFonts w:ascii="Avenir Book" w:hAnsi="Avenir Book"/>
        </w:rPr>
        <w:t>Data _____________________</w:t>
      </w:r>
    </w:p>
    <w:p>
      <w:pPr>
        <w:pStyle w:val="Normal"/>
        <w:jc w:val="both"/>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r>
    </w:p>
    <w:p>
      <w:pPr>
        <w:pStyle w:val="Normal"/>
        <w:jc w:val="both"/>
        <w:rPr>
          <w:rFonts w:ascii="Avenir Book" w:hAnsi="Avenir Book"/>
        </w:rPr>
      </w:pPr>
      <w:r>
        <w:rPr>
          <w:rFonts w:ascii="Avenir Book" w:hAnsi="Avenir Book"/>
        </w:rPr>
        <w:t xml:space="preserve">Per il Consorzio                                                                             </w:t>
      </w:r>
      <w:r>
        <w:rPr>
          <w:rFonts w:ascii="Avenir Book" w:hAnsi="Avenir Book"/>
        </w:rPr>
        <w:t>Per il Comune</w:t>
      </w:r>
      <w:r>
        <w:rPr>
          <w:rFonts w:ascii="Avenir Book" w:hAnsi="Avenir Book"/>
        </w:rPr>
        <w:t xml:space="preserve">               </w:t>
      </w:r>
    </w:p>
    <w:p>
      <w:pPr>
        <w:pStyle w:val="Normal"/>
        <w:jc w:val="both"/>
        <w:rPr>
          <w:rFonts w:ascii="Avenir Book" w:hAnsi="Avenir Book"/>
        </w:rPr>
      </w:pPr>
      <w:r>
        <w:rPr>
          <w:rFonts w:ascii="Avenir Book" w:hAnsi="Avenir Book"/>
        </w:rPr>
        <w:t xml:space="preserve">Il Direttore                                                                           </w:t>
      </w:r>
      <w:r>
        <w:rPr>
          <w:rFonts w:ascii="Avenir Book" w:hAnsi="Avenir Book"/>
        </w:rPr>
        <w:t>Responsabile Area Servizi Alla Persona</w:t>
      </w:r>
    </w:p>
    <w:p>
      <w:pPr>
        <w:pStyle w:val="Normal"/>
        <w:jc w:val="both"/>
        <w:rPr>
          <w:rFonts w:ascii="Avenir Book" w:hAnsi="Avenir Book"/>
        </w:rPr>
      </w:pPr>
      <w:r>
        <w:rPr/>
      </w:r>
    </w:p>
    <w:p>
      <w:pPr>
        <w:pStyle w:val="Normal"/>
        <w:jc w:val="both"/>
        <w:rPr>
          <w:rFonts w:ascii="Avenir Book" w:hAnsi="Avenir Book"/>
        </w:rPr>
      </w:pPr>
      <w:r>
        <w:rPr>
          <w:rFonts w:ascii="Avenir Book" w:hAnsi="Avenir Book"/>
        </w:rPr>
        <w:t>_</w:t>
      </w:r>
      <w:r>
        <w:rPr>
          <w:rFonts w:ascii="Avenir Book" w:hAnsi="Avenir Book"/>
        </w:rPr>
        <w:t>____________________                                                     ________________________________</w:t>
      </w:r>
    </w:p>
    <w:p>
      <w:pPr>
        <w:pStyle w:val="Normal"/>
        <w:jc w:val="both"/>
        <w:rPr>
          <w:rFonts w:ascii="Avenir Book" w:hAnsi="Avenir Book"/>
        </w:rPr>
      </w:pPr>
      <w:r>
        <w:rPr/>
      </w:r>
    </w:p>
    <w:p>
      <w:pPr>
        <w:pStyle w:val="Normal"/>
        <w:jc w:val="both"/>
        <w:rPr>
          <w:rFonts w:ascii="Avenir Book" w:hAnsi="Avenir Book"/>
        </w:rPr>
      </w:pPr>
      <w:r>
        <w:rPr>
          <w:rFonts w:ascii="Avenir Book" w:hAnsi="Avenir Book"/>
        </w:rPr>
      </w:r>
    </w:p>
    <w:p>
      <w:pPr>
        <w:pStyle w:val="Normal"/>
        <w:spacing w:lineRule="auto" w:line="360"/>
        <w:jc w:val="right"/>
        <w:rPr>
          <w:rFonts w:ascii="Avenir Book" w:hAnsi="Avenir Book"/>
        </w:rPr>
      </w:pPr>
      <w:r>
        <w:rPr/>
      </w:r>
    </w:p>
    <w:sectPr>
      <w:footerReference w:type="even" r:id="rId2"/>
      <w:footerReference w:type="default" r:id="rId3"/>
      <w:footerReference w:type="first" r:id="rId4"/>
      <w:type w:val="nextPage"/>
      <w:pgSz w:w="11906" w:h="16838"/>
      <w:pgMar w:left="1134" w:right="1134" w:gutter="0" w:header="0"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roman"/>
    <w:pitch w:val="variable"/>
  </w:font>
  <w:font w:name="Avenir Book">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Cornic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Pidipagina"/>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Cornice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Pidipagina"/>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ind w:right="360" w:hanging="0"/>
      <w:rPr/>
    </w:pPr>
    <w:r>
      <w:rPr/>
      <mc:AlternateContent>
        <mc:Choice Requires="wps">
          <w:drawing>
            <wp:anchor behindDoc="1" distT="0" distB="0" distL="0" distR="0" simplePos="0" locked="0" layoutInCell="0" allowOverlap="1" relativeHeight="6">
              <wp:simplePos x="0" y="0"/>
              <wp:positionH relativeFrom="margin">
                <wp:align>right</wp:align>
              </wp:positionH>
              <wp:positionV relativeFrom="paragraph">
                <wp:posOffset>635</wp:posOffset>
              </wp:positionV>
              <wp:extent cx="85090" cy="177165"/>
              <wp:effectExtent l="0" t="0" r="0" b="0"/>
              <wp:wrapSquare wrapText="bothSides"/>
              <wp:docPr id="3" name="Cornice2"/>
              <a:graphic xmlns:a="http://schemas.openxmlformats.org/drawingml/2006/main">
                <a:graphicData uri="http://schemas.microsoft.com/office/word/2010/wordprocessingShape">
                  <wps:wsp>
                    <wps:cNvSpPr/>
                    <wps:spPr>
                      <a:xfrm>
                        <a:off x="0" y="0"/>
                        <a:ext cx="84960" cy="177120"/>
                      </a:xfrm>
                      <a:prstGeom prst="rect">
                        <a:avLst/>
                      </a:prstGeom>
                      <a:noFill/>
                      <a:ln w="0">
                        <a:noFill/>
                      </a:ln>
                    </wps:spPr>
                    <wps:style>
                      <a:lnRef idx="0"/>
                      <a:fillRef idx="0"/>
                      <a:effectRef idx="0"/>
                      <a:fontRef idx="minor"/>
                    </wps:style>
                    <wps:txbx>
                      <w:txbxContent>
                        <w:p>
                          <w:pPr>
                            <w:pStyle w:val="Pidipagina"/>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wps:txbx>
                    <wps:bodyPr lIns="0" rIns="0" tIns="0" bIns="0" anchor="t">
                      <a:spAutoFit/>
                    </wps:bodyPr>
                  </wps:wsp>
                </a:graphicData>
              </a:graphic>
            </wp:anchor>
          </w:drawing>
        </mc:Choice>
        <mc:Fallback>
          <w:pict>
            <v:rect id="shape_0" ID="Cornice2" path="m0,0l-2147483645,0l-2147483645,-2147483646l0,-2147483646xe" stroked="f" o:allowincell="f" style="position:absolute;margin-left:475.15pt;margin-top:0.05pt;width:6.65pt;height:13.9pt;mso-wrap-style:square;v-text-anchor:top;mso-position-horizontal:right;mso-position-horizontal-relative:margin">
              <v:fill o:detectmouseclick="t" on="false"/>
              <v:stroke color="#3465a4" joinstyle="round" endcap="flat"/>
              <v:textbox>
                <w:txbxContent>
                  <w:p>
                    <w:pPr>
                      <w:pStyle w:val="Pidipagina"/>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ind w:right="360" w:hanging="0"/>
      <w:rPr/>
    </w:pPr>
    <w:r>
      <w:rPr/>
      <mc:AlternateContent>
        <mc:Choice Requires="wps">
          <w:drawing>
            <wp:anchor behindDoc="1" distT="0" distB="0" distL="0" distR="0" simplePos="0" locked="0" layoutInCell="0" allowOverlap="1" relativeHeight="6">
              <wp:simplePos x="0" y="0"/>
              <wp:positionH relativeFrom="margin">
                <wp:align>right</wp:align>
              </wp:positionH>
              <wp:positionV relativeFrom="paragraph">
                <wp:posOffset>635</wp:posOffset>
              </wp:positionV>
              <wp:extent cx="85090" cy="177165"/>
              <wp:effectExtent l="0" t="0" r="0" b="0"/>
              <wp:wrapSquare wrapText="bothSides"/>
              <wp:docPr id="5" name="Cornice2"/>
              <a:graphic xmlns:a="http://schemas.openxmlformats.org/drawingml/2006/main">
                <a:graphicData uri="http://schemas.microsoft.com/office/word/2010/wordprocessingShape">
                  <wps:wsp>
                    <wps:cNvSpPr/>
                    <wps:spPr>
                      <a:xfrm>
                        <a:off x="0" y="0"/>
                        <a:ext cx="84960" cy="177120"/>
                      </a:xfrm>
                      <a:prstGeom prst="rect">
                        <a:avLst/>
                      </a:prstGeom>
                      <a:noFill/>
                      <a:ln w="0">
                        <a:noFill/>
                      </a:ln>
                    </wps:spPr>
                    <wps:style>
                      <a:lnRef idx="0"/>
                      <a:fillRef idx="0"/>
                      <a:effectRef idx="0"/>
                      <a:fontRef idx="minor"/>
                    </wps:style>
                    <wps:txbx>
                      <w:txbxContent>
                        <w:p>
                          <w:pPr>
                            <w:pStyle w:val="Pidipagina"/>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wps:txbx>
                    <wps:bodyPr lIns="0" rIns="0" tIns="0" bIns="0" anchor="t">
                      <a:spAutoFit/>
                    </wps:bodyPr>
                  </wps:wsp>
                </a:graphicData>
              </a:graphic>
            </wp:anchor>
          </w:drawing>
        </mc:Choice>
        <mc:Fallback>
          <w:pict>
            <v:rect id="shape_0" ID="Cornice2" path="m0,0l-2147483645,0l-2147483645,-2147483646l0,-2147483646xe" stroked="f" o:allowincell="f" style="position:absolute;margin-left:475.15pt;margin-top:0.05pt;width:6.65pt;height:13.9pt;mso-wrap-style:square;v-text-anchor:top;mso-position-horizontal:right;mso-position-horizontal-relative:margin">
              <v:fill o:detectmouseclick="t" on="false"/>
              <v:stroke color="#3465a4" joinstyle="round" endcap="flat"/>
              <v:textbox>
                <w:txbxContent>
                  <w:p>
                    <w:pPr>
                      <w:pStyle w:val="Pidipagina"/>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v:textbox>
              <w10:wrap type="square"/>
            </v:rect>
          </w:pict>
        </mc:Fallback>
      </mc:AlternateContent>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mbria" w:hAnsi="Cambria" w:eastAsia="ＭＳ 明朝" w:cs="" w:asciiTheme="minorHAnsi" w:cstheme="minorBidi" w:eastAsiaTheme="minorEastAsia" w:hAnsiTheme="minorHAnsi"/>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PidipaginaCarattere" w:customStyle="1">
    <w:name w:val="Piè di pagina Carattere"/>
    <w:basedOn w:val="DefaultParagraphFont"/>
    <w:uiPriority w:val="99"/>
    <w:qFormat/>
    <w:rsid w:val="00bb0ade"/>
    <w:rPr/>
  </w:style>
  <w:style w:type="character" w:styleId="Pagenumber">
    <w:name w:val="page number"/>
    <w:basedOn w:val="DefaultParagraphFont"/>
    <w:uiPriority w:val="99"/>
    <w:semiHidden/>
    <w:unhideWhenUsed/>
    <w:qFormat/>
    <w:rsid w:val="00bb0ad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unhideWhenUsed/>
    <w:rsid w:val="00bb0ade"/>
    <w:pPr>
      <w:tabs>
        <w:tab w:val="clear" w:pos="708"/>
        <w:tab w:val="center" w:pos="4819" w:leader="none"/>
        <w:tab w:val="right" w:pos="9638" w:leader="none"/>
      </w:tabs>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LibreOffice/7.5.1.2$Windows_X86_64 LibreOffice_project/fcbaee479e84c6cd81291587d2ee68cba099e129</Application>
  <AppVersion>15.0000</AppVersion>
  <Pages>2</Pages>
  <Words>621</Words>
  <Characters>3737</Characters>
  <CharactersWithSpaces>4542</CharactersWithSpaces>
  <Paragraphs>40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2023-06-27T12:35:00Z</dcterms:created>
  <dc:creator>Francesca Telve</dc:creator>
  <dc:description/>
  <dc:language>it-IT</dc:language>
  <cp:lastModifiedBy/>
  <cp:lastPrinted>2018-06-11T11:17:00Z</cp:lastPrinted>
  <dcterms:modified xsi:type="dcterms:W3CDTF">2024-08-08T10:20:42Z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