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glossary/styles.xml" ContentType="application/vnd.openxmlformats-officedocument.wordprocessingml.styles+xml"/>
  <Override PartName="/word/glossary/_rels/document.xml.rels" ContentType="application/vnd.openxmlformats-package.relationship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before="0" w:after="0"/>
        <w:ind w:left="0" w:hanging="0"/>
        <w:rPr>
          <w:rFonts w:ascii="Cambria" w:hAnsi="Cambria" w:eastAsia="Calibri" w:cs="Calibri"/>
          <w:b/>
          <w:color w:val="000000"/>
          <w:sz w:val="24"/>
          <w:szCs w:val="24"/>
          <w:lang w:eastAsia="it-IT"/>
        </w:rPr>
      </w:pPr>
      <w:r>
        <w:rPr/>
        <mc:AlternateContent>
          <mc:Choice Requires="wps">
            <w:drawing>
              <wp:anchor behindDoc="0" distT="0" distB="0" distL="0" distR="0" simplePos="0" locked="0" layoutInCell="0" allowOverlap="1" relativeHeight="3" wp14:anchorId="3C319642">
                <wp:simplePos x="0" y="0"/>
                <wp:positionH relativeFrom="column">
                  <wp:posOffset>3373755</wp:posOffset>
                </wp:positionH>
                <wp:positionV relativeFrom="paragraph">
                  <wp:posOffset>116205</wp:posOffset>
                </wp:positionV>
                <wp:extent cx="3206115" cy="641985"/>
                <wp:effectExtent l="0" t="0" r="0" b="0"/>
                <wp:wrapNone/>
                <wp:docPr id="1" name="Casella di testo 3"/>
                <a:graphic xmlns:a="http://schemas.openxmlformats.org/drawingml/2006/main">
                  <a:graphicData uri="http://schemas.microsoft.com/office/word/2010/wordprocessingShape">
                    <wps:wsp>
                      <wps:cNvSpPr/>
                      <wps:spPr>
                        <a:xfrm>
                          <a:off x="0" y="0"/>
                          <a:ext cx="3206160" cy="641880"/>
                        </a:xfrm>
                        <a:prstGeom prst="rect">
                          <a:avLst/>
                        </a:prstGeom>
                        <a:solidFill>
                          <a:srgbClr val="ffffff"/>
                        </a:solidFill>
                        <a:ln w="9525">
                          <a:noFill/>
                        </a:ln>
                      </wps:spPr>
                      <wps:style>
                        <a:lnRef idx="0"/>
                        <a:fillRef idx="0"/>
                        <a:effectRef idx="0"/>
                        <a:fontRef idx="minor"/>
                      </wps:style>
                      <wps:txbx>
                        <w:txbxContent>
                          <w:p>
                            <w:pPr>
                              <w:pStyle w:val="Contenutocornice"/>
                              <w:spacing w:lineRule="auto" w:line="360" w:before="0" w:after="0"/>
                              <w:rPr>
                                <w:rFonts w:ascii="Garamond" w:hAnsi="Garamond" w:cs="Calibri"/>
                                <w:sz w:val="20"/>
                                <w:szCs w:val="20"/>
                              </w:rPr>
                            </w:pPr>
                            <w:r>
                              <w:rPr>
                                <w:rFonts w:ascii="Garamond" w:hAnsi="Garamond"/>
                                <w:color w:val="000000"/>
                                <w:sz w:val="20"/>
                                <w:szCs w:val="20"/>
                              </w:rPr>
                              <w:t xml:space="preserve">Rep. Contratti e convenzioni  n. </w:t>
                            </w:r>
                            <w:r>
                              <w:rPr>
                                <w:rFonts w:ascii="Garamond" w:hAnsi="Garamond"/>
                                <w:color w:val="D9D9D9"/>
                                <w:sz w:val="20"/>
                                <w:szCs w:val="20"/>
                              </w:rPr>
                              <w:t xml:space="preserve">__________ </w:t>
                            </w:r>
                            <w:r>
                              <w:rPr>
                                <w:rFonts w:cs="Calibri" w:ascii="Garamond" w:hAnsi="Garamond"/>
                                <w:color w:val="000000"/>
                                <w:sz w:val="20"/>
                                <w:szCs w:val="20"/>
                              </w:rPr>
                              <w:t xml:space="preserve">Anno </w:t>
                            </w:r>
                            <w:r>
                              <w:rPr>
                                <w:rFonts w:cs="Calibri" w:ascii="Garamond" w:hAnsi="Garamond"/>
                                <w:color w:val="D9D9D9"/>
                                <w:sz w:val="20"/>
                                <w:szCs w:val="20"/>
                              </w:rPr>
                              <w:t>________</w:t>
                            </w:r>
                          </w:p>
                          <w:p>
                            <w:pPr>
                              <w:pStyle w:val="Contenutocornice"/>
                              <w:spacing w:lineRule="auto" w:line="360" w:before="0" w:after="0"/>
                              <w:rPr>
                                <w:rFonts w:ascii="Garamond" w:hAnsi="Garamond"/>
                                <w:sz w:val="20"/>
                                <w:szCs w:val="20"/>
                              </w:rPr>
                            </w:pPr>
                            <w:r>
                              <w:rPr>
                                <w:rFonts w:ascii="Garamond" w:hAnsi="Garamond"/>
                                <w:color w:val="000000"/>
                                <w:sz w:val="20"/>
                                <w:szCs w:val="20"/>
                              </w:rPr>
                              <w:t xml:space="preserve">Prot. N. </w:t>
                            </w:r>
                            <w:r>
                              <w:rPr>
                                <w:rFonts w:ascii="Garamond" w:hAnsi="Garamond"/>
                                <w:color w:val="D9D9D9"/>
                                <w:sz w:val="20"/>
                                <w:szCs w:val="20"/>
                              </w:rPr>
                              <w:t xml:space="preserve">______________ </w:t>
                            </w:r>
                            <w:r>
                              <w:rPr>
                                <w:rFonts w:ascii="Garamond" w:hAnsi="Garamond"/>
                                <w:color w:val="000000"/>
                                <w:sz w:val="20"/>
                                <w:szCs w:val="20"/>
                              </w:rPr>
                              <w:t xml:space="preserve">del  </w:t>
                            </w:r>
                            <w:r>
                              <w:rPr>
                                <w:rFonts w:cs="Calibri" w:ascii="Garamond" w:hAnsi="Garamond"/>
                                <w:color w:val="D9D9D9"/>
                                <w:sz w:val="20"/>
                                <w:szCs w:val="20"/>
                              </w:rPr>
                              <w:t>______________</w:t>
                            </w:r>
                          </w:p>
                          <w:p>
                            <w:pPr>
                              <w:pStyle w:val="Contenutocornice"/>
                              <w:spacing w:lineRule="auto" w:line="360" w:before="0" w:after="0"/>
                              <w:rPr>
                                <w:rFonts w:ascii="Garamond" w:hAnsi="Garamond" w:cs="Calibri"/>
                                <w:sz w:val="20"/>
                                <w:szCs w:val="20"/>
                              </w:rPr>
                            </w:pPr>
                            <w:r>
                              <w:rPr>
                                <w:rFonts w:cs="Calibri" w:ascii="Garamond" w:hAnsi="Garamond"/>
                                <w:color w:val="000000"/>
                                <w:sz w:val="20"/>
                                <w:szCs w:val="20"/>
                              </w:rPr>
                              <w:t xml:space="preserve">Tit. </w:t>
                            </w:r>
                            <w:r>
                              <w:rPr>
                                <w:rFonts w:cs="Calibri" w:ascii="Garamond" w:hAnsi="Garamond"/>
                                <w:color w:val="D9D9D9"/>
                                <w:sz w:val="20"/>
                                <w:szCs w:val="20"/>
                              </w:rPr>
                              <w:t xml:space="preserve">___ </w:t>
                            </w:r>
                            <w:r>
                              <w:rPr>
                                <w:rFonts w:cs="Calibri" w:ascii="Garamond" w:hAnsi="Garamond"/>
                                <w:color w:val="000000"/>
                                <w:sz w:val="20"/>
                                <w:szCs w:val="20"/>
                              </w:rPr>
                              <w:t xml:space="preserve">Cl. </w:t>
                            </w:r>
                            <w:r>
                              <w:rPr>
                                <w:rFonts w:cs="Calibri" w:ascii="Garamond" w:hAnsi="Garamond"/>
                                <w:color w:val="D9D9D9"/>
                                <w:sz w:val="20"/>
                                <w:szCs w:val="20"/>
                              </w:rPr>
                              <w:t xml:space="preserve">____ </w:t>
                            </w:r>
                            <w:r>
                              <w:rPr>
                                <w:rFonts w:cs="Calibri" w:ascii="Garamond" w:hAnsi="Garamond"/>
                                <w:color w:val="000000"/>
                                <w:sz w:val="20"/>
                                <w:szCs w:val="20"/>
                              </w:rPr>
                              <w:t xml:space="preserve">Fasc. </w:t>
                            </w:r>
                            <w:r>
                              <w:rPr>
                                <w:rFonts w:cs="Calibri" w:ascii="Garamond" w:hAnsi="Garamond"/>
                                <w:color w:val="D9D9D9"/>
                                <w:sz w:val="20"/>
                                <w:szCs w:val="20"/>
                              </w:rPr>
                              <w:t>____________________</w:t>
                            </w:r>
                          </w:p>
                        </w:txbxContent>
                      </wps:txbx>
                      <wps:bodyPr lIns="36360" rIns="36360" tIns="36360" bIns="36360" anchor="t">
                        <a:spAutoFit/>
                      </wps:bodyPr>
                    </wps:wsp>
                  </a:graphicData>
                </a:graphic>
                <wp14:sizeRelV relativeFrom="margin">
                  <wp14:pctHeight>20000</wp14:pctHeight>
                </wp14:sizeRelV>
              </wp:anchor>
            </w:drawing>
          </mc:Choice>
          <mc:Fallback>
            <w:pict>
              <v:rect id="shape_0" ID="Casella di testo 3" path="m0,0l-2147483645,0l-2147483645,-2147483646l0,-2147483646xe" fillcolor="white" stroked="f" o:allowincell="f" style="position:absolute;margin-left:265.65pt;margin-top:9.15pt;width:252.4pt;height:50.5pt;mso-wrap-style:square;v-text-anchor:top" wp14:anchorId="3C319642">
                <v:fill o:detectmouseclick="t" type="solid" color2="black"/>
                <v:stroke color="#3465a4" weight="9360" joinstyle="round" endcap="flat"/>
                <v:textbox>
                  <w:txbxContent>
                    <w:p>
                      <w:pPr>
                        <w:pStyle w:val="Contenutocornice"/>
                        <w:spacing w:lineRule="auto" w:line="360" w:before="0" w:after="0"/>
                        <w:rPr>
                          <w:rFonts w:ascii="Garamond" w:hAnsi="Garamond" w:cs="Calibri"/>
                          <w:sz w:val="20"/>
                          <w:szCs w:val="20"/>
                        </w:rPr>
                      </w:pPr>
                      <w:r>
                        <w:rPr>
                          <w:rFonts w:ascii="Garamond" w:hAnsi="Garamond"/>
                          <w:color w:val="000000"/>
                          <w:sz w:val="20"/>
                          <w:szCs w:val="20"/>
                        </w:rPr>
                        <w:t xml:space="preserve">Rep. Contratti e convenzioni  n. </w:t>
                      </w:r>
                      <w:r>
                        <w:rPr>
                          <w:rFonts w:ascii="Garamond" w:hAnsi="Garamond"/>
                          <w:color w:val="D9D9D9"/>
                          <w:sz w:val="20"/>
                          <w:szCs w:val="20"/>
                        </w:rPr>
                        <w:t xml:space="preserve">__________ </w:t>
                      </w:r>
                      <w:r>
                        <w:rPr>
                          <w:rFonts w:cs="Calibri" w:ascii="Garamond" w:hAnsi="Garamond"/>
                          <w:color w:val="000000"/>
                          <w:sz w:val="20"/>
                          <w:szCs w:val="20"/>
                        </w:rPr>
                        <w:t xml:space="preserve">Anno </w:t>
                      </w:r>
                      <w:r>
                        <w:rPr>
                          <w:rFonts w:cs="Calibri" w:ascii="Garamond" w:hAnsi="Garamond"/>
                          <w:color w:val="D9D9D9"/>
                          <w:sz w:val="20"/>
                          <w:szCs w:val="20"/>
                        </w:rPr>
                        <w:t>________</w:t>
                      </w:r>
                    </w:p>
                    <w:p>
                      <w:pPr>
                        <w:pStyle w:val="Contenutocornice"/>
                        <w:spacing w:lineRule="auto" w:line="360" w:before="0" w:after="0"/>
                        <w:rPr>
                          <w:rFonts w:ascii="Garamond" w:hAnsi="Garamond"/>
                          <w:sz w:val="20"/>
                          <w:szCs w:val="20"/>
                        </w:rPr>
                      </w:pPr>
                      <w:r>
                        <w:rPr>
                          <w:rFonts w:ascii="Garamond" w:hAnsi="Garamond"/>
                          <w:color w:val="000000"/>
                          <w:sz w:val="20"/>
                          <w:szCs w:val="20"/>
                        </w:rPr>
                        <w:t xml:space="preserve">Prot. N. </w:t>
                      </w:r>
                      <w:r>
                        <w:rPr>
                          <w:rFonts w:ascii="Garamond" w:hAnsi="Garamond"/>
                          <w:color w:val="D9D9D9"/>
                          <w:sz w:val="20"/>
                          <w:szCs w:val="20"/>
                        </w:rPr>
                        <w:t xml:space="preserve">______________ </w:t>
                      </w:r>
                      <w:r>
                        <w:rPr>
                          <w:rFonts w:ascii="Garamond" w:hAnsi="Garamond"/>
                          <w:color w:val="000000"/>
                          <w:sz w:val="20"/>
                          <w:szCs w:val="20"/>
                        </w:rPr>
                        <w:t xml:space="preserve">del  </w:t>
                      </w:r>
                      <w:r>
                        <w:rPr>
                          <w:rFonts w:cs="Calibri" w:ascii="Garamond" w:hAnsi="Garamond"/>
                          <w:color w:val="D9D9D9"/>
                          <w:sz w:val="20"/>
                          <w:szCs w:val="20"/>
                        </w:rPr>
                        <w:t>______________</w:t>
                      </w:r>
                    </w:p>
                    <w:p>
                      <w:pPr>
                        <w:pStyle w:val="Contenutocornice"/>
                        <w:spacing w:lineRule="auto" w:line="360" w:before="0" w:after="0"/>
                        <w:rPr>
                          <w:rFonts w:ascii="Garamond" w:hAnsi="Garamond" w:cs="Calibri"/>
                          <w:sz w:val="20"/>
                          <w:szCs w:val="20"/>
                        </w:rPr>
                      </w:pPr>
                      <w:r>
                        <w:rPr>
                          <w:rFonts w:cs="Calibri" w:ascii="Garamond" w:hAnsi="Garamond"/>
                          <w:color w:val="000000"/>
                          <w:sz w:val="20"/>
                          <w:szCs w:val="20"/>
                        </w:rPr>
                        <w:t xml:space="preserve">Tit. </w:t>
                      </w:r>
                      <w:r>
                        <w:rPr>
                          <w:rFonts w:cs="Calibri" w:ascii="Garamond" w:hAnsi="Garamond"/>
                          <w:color w:val="D9D9D9"/>
                          <w:sz w:val="20"/>
                          <w:szCs w:val="20"/>
                        </w:rPr>
                        <w:t xml:space="preserve">___ </w:t>
                      </w:r>
                      <w:r>
                        <w:rPr>
                          <w:rFonts w:cs="Calibri" w:ascii="Garamond" w:hAnsi="Garamond"/>
                          <w:color w:val="000000"/>
                          <w:sz w:val="20"/>
                          <w:szCs w:val="20"/>
                        </w:rPr>
                        <w:t xml:space="preserve">Cl. </w:t>
                      </w:r>
                      <w:r>
                        <w:rPr>
                          <w:rFonts w:cs="Calibri" w:ascii="Garamond" w:hAnsi="Garamond"/>
                          <w:color w:val="D9D9D9"/>
                          <w:sz w:val="20"/>
                          <w:szCs w:val="20"/>
                        </w:rPr>
                        <w:t xml:space="preserve">____ </w:t>
                      </w:r>
                      <w:r>
                        <w:rPr>
                          <w:rFonts w:cs="Calibri" w:ascii="Garamond" w:hAnsi="Garamond"/>
                          <w:color w:val="000000"/>
                          <w:sz w:val="20"/>
                          <w:szCs w:val="20"/>
                        </w:rPr>
                        <w:t xml:space="preserve">Fasc. </w:t>
                      </w:r>
                      <w:r>
                        <w:rPr>
                          <w:rFonts w:cs="Calibri" w:ascii="Garamond" w:hAnsi="Garamond"/>
                          <w:color w:val="D9D9D9"/>
                          <w:sz w:val="20"/>
                          <w:szCs w:val="20"/>
                        </w:rPr>
                        <w:t>____________________</w:t>
                      </w:r>
                    </w:p>
                  </w:txbxContent>
                </v:textbox>
                <w10:wrap type="none"/>
              </v:rect>
            </w:pict>
          </mc:Fallback>
        </mc:AlternateContent>
        <w:drawing>
          <wp:inline distT="0" distB="0" distL="0" distR="0">
            <wp:extent cx="2540635" cy="683895"/>
            <wp:effectExtent l="0" t="0" r="0" b="0"/>
            <wp:docPr id="3"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 descr=""/>
                    <pic:cNvPicPr>
                      <a:picLocks noChangeAspect="1" noChangeArrowheads="1"/>
                    </pic:cNvPicPr>
                  </pic:nvPicPr>
                  <pic:blipFill>
                    <a:blip r:embed="rId2"/>
                    <a:stretch>
                      <a:fillRect/>
                    </a:stretch>
                  </pic:blipFill>
                  <pic:spPr bwMode="auto">
                    <a:xfrm>
                      <a:off x="0" y="0"/>
                      <a:ext cx="2540635" cy="683895"/>
                    </a:xfrm>
                    <a:prstGeom prst="rect">
                      <a:avLst/>
                    </a:prstGeom>
                  </pic:spPr>
                </pic:pic>
              </a:graphicData>
            </a:graphic>
          </wp:inline>
        </w:drawing>
      </w:r>
    </w:p>
    <w:p>
      <w:pPr>
        <w:pStyle w:val="Normal"/>
        <w:numPr>
          <w:ilvl w:val="0"/>
          <w:numId w:val="0"/>
        </w:numPr>
        <w:spacing w:before="0" w:after="0"/>
        <w:ind w:left="0" w:hanging="0"/>
        <w:jc w:val="center"/>
        <w:rPr>
          <w:rFonts w:ascii="Cambria" w:hAnsi="Cambria" w:eastAsia="Calibri" w:cs="Calibri"/>
          <w:b/>
          <w:color w:val="000000"/>
          <w:sz w:val="24"/>
          <w:szCs w:val="24"/>
          <w:lang w:eastAsia="it-IT"/>
        </w:rPr>
      </w:pPr>
      <w:r>
        <w:rPr>
          <w:rFonts w:eastAsia="Calibri" w:cs="Calibri" w:ascii="Cambria" w:hAnsi="Cambria"/>
          <w:b/>
          <w:color w:val="000000"/>
          <w:sz w:val="24"/>
          <w:szCs w:val="24"/>
          <w:lang w:eastAsia="it-IT"/>
        </w:rPr>
      </w:r>
    </w:p>
    <w:p>
      <w:pPr>
        <w:pStyle w:val="Normal"/>
        <w:numPr>
          <w:ilvl w:val="0"/>
          <w:numId w:val="0"/>
        </w:numPr>
        <w:spacing w:before="0" w:after="0"/>
        <w:ind w:left="0" w:hanging="0"/>
        <w:jc w:val="center"/>
        <w:rPr>
          <w:rFonts w:ascii="Cambria" w:hAnsi="Cambria" w:eastAsia="Calibri" w:cs="Calibri"/>
          <w:b/>
          <w:color w:val="000000"/>
          <w:sz w:val="24"/>
          <w:szCs w:val="24"/>
          <w:lang w:eastAsia="it-IT"/>
        </w:rPr>
      </w:pPr>
      <w:r>
        <w:rPr>
          <w:rFonts w:eastAsia="Calibri" w:cs="Calibri" w:ascii="Cambria" w:hAnsi="Cambria"/>
          <w:b/>
          <w:color w:val="000000"/>
          <w:sz w:val="24"/>
          <w:szCs w:val="24"/>
          <w:lang w:eastAsia="it-IT"/>
        </w:rPr>
      </w:r>
    </w:p>
    <w:p>
      <w:pPr>
        <w:pStyle w:val="Normal"/>
        <w:numPr>
          <w:ilvl w:val="0"/>
          <w:numId w:val="0"/>
        </w:numPr>
        <w:spacing w:lineRule="auto" w:line="240" w:before="0" w:after="0"/>
        <w:ind w:left="0" w:hanging="0"/>
        <w:jc w:val="center"/>
        <w:rPr>
          <w:rFonts w:ascii="Garamond" w:hAnsi="Garamond" w:eastAsia="Calibri" w:cs="Calibri"/>
          <w:b/>
          <w:color w:val="000000"/>
          <w:sz w:val="24"/>
          <w:szCs w:val="24"/>
          <w:lang w:eastAsia="it-IT"/>
        </w:rPr>
      </w:pPr>
      <w:r>
        <w:rPr>
          <w:rFonts w:eastAsia="Calibri" w:cs="Calibri" w:ascii="Garamond" w:hAnsi="Garamond"/>
          <w:b/>
          <w:color w:val="000000"/>
          <w:sz w:val="24"/>
          <w:szCs w:val="24"/>
          <w:lang w:eastAsia="it-IT"/>
        </w:rPr>
        <w:t>CONVENZIONE COLLETTIVA DI TIROCINIO</w:t>
      </w:r>
    </w:p>
    <w:p>
      <w:pPr>
        <w:pStyle w:val="Normal"/>
        <w:numPr>
          <w:ilvl w:val="0"/>
          <w:numId w:val="0"/>
        </w:numPr>
        <w:spacing w:lineRule="auto" w:line="240" w:before="0" w:after="0"/>
        <w:ind w:left="0" w:hanging="0"/>
        <w:jc w:val="center"/>
        <w:rPr>
          <w:rFonts w:ascii="Garamond" w:hAnsi="Garamond" w:eastAsia="Calibri" w:cs="Calibri"/>
          <w:color w:val="000000"/>
          <w:sz w:val="24"/>
          <w:szCs w:val="24"/>
          <w:lang w:eastAsia="it-IT"/>
        </w:rPr>
      </w:pPr>
      <w:r>
        <w:rPr>
          <w:rFonts w:eastAsia="Calibri" w:cs="Calibri" w:ascii="Garamond" w:hAnsi="Garamond"/>
          <w:color w:val="000000"/>
          <w:sz w:val="24"/>
          <w:szCs w:val="24"/>
          <w:lang w:eastAsia="it-IT"/>
        </w:rPr>
        <w:t>(ai sensi della DGR 17.01.2018, n. 7763 e del DDG 07.05.2018, n. 6286)</w:t>
      </w:r>
    </w:p>
    <w:p>
      <w:pPr>
        <w:pStyle w:val="Normal"/>
        <w:tabs>
          <w:tab w:val="clear" w:pos="708"/>
          <w:tab w:val="left" w:pos="8931" w:leader="none"/>
        </w:tabs>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r>
    </w:p>
    <w:p>
      <w:pPr>
        <w:pStyle w:val="Normal"/>
        <w:tabs>
          <w:tab w:val="clear" w:pos="708"/>
          <w:tab w:val="left" w:pos="8931" w:leader="none"/>
        </w:tabs>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r>
    </w:p>
    <w:p>
      <w:pPr>
        <w:pStyle w:val="Normal"/>
        <w:tabs>
          <w:tab w:val="clear" w:pos="708"/>
          <w:tab w:val="left" w:pos="8931" w:leader="none"/>
        </w:tabs>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t>TRA</w:t>
      </w:r>
    </w:p>
    <w:p>
      <w:pPr>
        <w:pStyle w:val="Normal"/>
        <w:spacing w:lineRule="auto" w:line="240" w:before="0" w:after="0"/>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 xml:space="preserve">SOGGETTO PROMOTORE – </w:t>
      </w:r>
      <w:r>
        <w:rPr>
          <w:rFonts w:eastAsia="Times New Roman" w:cs="Times New Roman" w:ascii="Garamond" w:hAnsi="Garamond"/>
          <w:b/>
          <w:color w:val="000000"/>
          <w:sz w:val="24"/>
          <w:szCs w:val="24"/>
          <w:lang w:eastAsia="it-IT"/>
        </w:rPr>
        <w:t xml:space="preserve">Università degli Studi dell’Insubria </w:t>
      </w:r>
    </w:p>
    <w:p>
      <w:pPr>
        <w:pStyle w:val="Normal"/>
        <w:spacing w:lineRule="auto" w:line="240" w:before="0" w:after="0"/>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Con sede legale in via Ravasi, 2</w:t>
      </w:r>
    </w:p>
    <w:p>
      <w:pPr>
        <w:pStyle w:val="Normal"/>
        <w:spacing w:lineRule="auto" w:line="240" w:before="0" w:after="0"/>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CAP 21100  Comune Varese  Provincia VA</w:t>
      </w:r>
    </w:p>
    <w:p>
      <w:pPr>
        <w:pStyle w:val="Normal"/>
        <w:spacing w:lineRule="auto" w:line="240" w:before="0" w:after="0"/>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Codice fiscale:  95039180120   Partita I.V.A.: 02481820120</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 xml:space="preserve">Rappresentato dal Direttore Dipartimento di Scienze umane e per l'innovazione del territorio, Prof.ssa Nicoletta Sabadini nata a Lecco il 09/03/1956 codice fiscale SBDNLT56C49E507J, su delega del Rettore DR n. 890 del 15 ottobre 2021 </w:t>
      </w:r>
    </w:p>
    <w:p>
      <w:pPr>
        <w:pStyle w:val="Normal"/>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t>E</w:t>
      </w:r>
    </w:p>
    <w:p>
      <w:pPr>
        <w:pStyle w:val="Normal"/>
        <w:spacing w:lineRule="auto" w:line="240" w:before="0" w:after="0"/>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SOGGETTO OSPITANTE -  COMUNE DI MALNATE</w:t>
      </w:r>
    </w:p>
    <w:p>
      <w:pPr>
        <w:pStyle w:val="Normal"/>
        <w:spacing w:lineRule="auto" w:line="240" w:before="0" w:after="0"/>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Con sede legale in Piazza Vittorio Veneto n. 2</w:t>
      </w:r>
    </w:p>
    <w:p>
      <w:pPr>
        <w:pStyle w:val="Normal"/>
        <w:spacing w:lineRule="auto" w:line="240" w:before="0" w:after="0"/>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CAP 21046   Malnate (VA)</w:t>
      </w:r>
    </w:p>
    <w:p>
      <w:pPr>
        <w:pStyle w:val="Normal"/>
        <w:spacing w:lineRule="auto" w:line="240" w:before="0" w:after="0"/>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 xml:space="preserve">Codice fiscale:  00243280120   Partita I.V.A.: 00243280120 </w:t>
      </w:r>
    </w:p>
    <w:p>
      <w:pPr>
        <w:pStyle w:val="Normal"/>
        <w:spacing w:lineRule="auto" w:line="240" w:before="0" w:after="0"/>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Rappresentato da : Nadia Cannito nata il  16/01/1975 a Varese (VA)</w:t>
      </w:r>
    </w:p>
    <w:p>
      <w:pPr>
        <w:pStyle w:val="Normal"/>
        <w:spacing w:lineRule="auto" w:line="240" w:before="0" w:after="0"/>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spacing w:lineRule="auto" w:line="240" w:before="0" w:after="0"/>
        <w:rPr>
          <w:rFonts w:ascii="Garamond" w:hAnsi="Garamond" w:eastAsia="Times New Roman" w:cs="Times New Roman"/>
          <w:b/>
          <w:color w:val="000000"/>
          <w:sz w:val="24"/>
          <w:szCs w:val="24"/>
          <w:lang w:eastAsia="it-IT"/>
        </w:rPr>
      </w:pPr>
      <w:r>
        <w:rPr>
          <w:rFonts w:eastAsia="Times New Roman" w:cs="Times New Roman" w:ascii="Garamond" w:hAnsi="Garamond"/>
          <w:color w:val="000000"/>
          <w:sz w:val="24"/>
          <w:szCs w:val="24"/>
          <w:lang w:eastAsia="it-IT"/>
        </w:rPr>
        <w:t xml:space="preserve">                                                                    </w:t>
      </w:r>
      <w:r>
        <w:rPr>
          <w:rFonts w:eastAsia="Times New Roman" w:cs="Times New Roman" w:ascii="Garamond" w:hAnsi="Garamond"/>
          <w:b/>
          <w:color w:val="000000"/>
          <w:sz w:val="24"/>
          <w:szCs w:val="24"/>
          <w:lang w:eastAsia="it-IT"/>
        </w:rPr>
        <w:t>PREMESSO CHE</w:t>
      </w:r>
    </w:p>
    <w:p>
      <w:pPr>
        <w:pStyle w:val="Default"/>
        <w:rPr>
          <w:rFonts w:ascii="Garamond" w:hAnsi="Garamond"/>
        </w:rPr>
      </w:pPr>
      <w:r>
        <w:rPr>
          <w:rFonts w:ascii="Garamond" w:hAnsi="Garamond"/>
        </w:rPr>
      </w:r>
    </w:p>
    <w:p>
      <w:pPr>
        <w:pStyle w:val="ListParagraph"/>
        <w:numPr>
          <w:ilvl w:val="0"/>
          <w:numId w:val="8"/>
        </w:numPr>
        <w:spacing w:lineRule="auto" w:line="240" w:before="0" w:after="0"/>
        <w:contextualSpacing/>
        <w:jc w:val="both"/>
        <w:rPr>
          <w:rFonts w:ascii="Garamond" w:hAnsi="Garamond" w:eastAsia="Times New Roman" w:cs="Arial"/>
          <w:color w:val="000000"/>
          <w:sz w:val="24"/>
          <w:szCs w:val="24"/>
          <w:lang w:eastAsia="it-IT"/>
        </w:rPr>
      </w:pPr>
      <w:r>
        <w:rPr>
          <w:rFonts w:eastAsia="Times New Roman" w:cs="Times New Roman" w:ascii="Garamond" w:hAnsi="Garamond"/>
          <w:color w:val="000000"/>
          <w:sz w:val="24"/>
          <w:szCs w:val="24"/>
          <w:lang w:eastAsia="it-IT"/>
        </w:rPr>
        <w:t>Ai sensi dell’art. 2.1 della D.G.R. 17/01/2018 n. 7763 l</w:t>
      </w:r>
      <w:r>
        <w:rPr>
          <w:rFonts w:eastAsia="Times New Roman" w:cs="Arial" w:ascii="Garamond" w:hAnsi="Garamond"/>
          <w:color w:val="000000"/>
          <w:sz w:val="24"/>
          <w:szCs w:val="24"/>
          <w:lang w:eastAsia="it-IT"/>
        </w:rPr>
        <w:t xml:space="preserve">e </w:t>
      </w:r>
      <w:r>
        <w:rPr>
          <w:rFonts w:ascii="Garamond" w:hAnsi="Garamond"/>
          <w:sz w:val="24"/>
          <w:szCs w:val="24"/>
        </w:rPr>
        <w:t xml:space="preserve">Istituzioni Universitarie sono </w:t>
      </w:r>
      <w:r>
        <w:rPr>
          <w:rFonts w:eastAsia="Times New Roman" w:cs="Times New Roman" w:ascii="Garamond" w:hAnsi="Garamond"/>
          <w:color w:val="000000"/>
          <w:sz w:val="24"/>
          <w:szCs w:val="24"/>
          <w:lang w:eastAsia="it-IT"/>
        </w:rPr>
        <w:t>soggetti abilitati a promuovere tirocini extracurriculari in Regione Lombardia.</w:t>
      </w:r>
    </w:p>
    <w:p>
      <w:pPr>
        <w:pStyle w:val="ListParagraph"/>
        <w:spacing w:lineRule="auto" w:line="240" w:before="0" w:after="0"/>
        <w:ind w:left="360" w:hanging="0"/>
        <w:contextualSpacing/>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ListParagraph"/>
        <w:numPr>
          <w:ilvl w:val="0"/>
          <w:numId w:val="8"/>
        </w:numPr>
        <w:spacing w:lineRule="auto" w:line="240" w:before="0" w:after="0"/>
        <w:contextualSpacing/>
        <w:jc w:val="both"/>
        <w:rPr>
          <w:rFonts w:ascii="Garamond" w:hAnsi="Garamond" w:eastAsia="Times New Roman" w:cs="Times New Roman"/>
          <w:color w:val="000000"/>
          <w:sz w:val="24"/>
          <w:szCs w:val="24"/>
          <w:lang w:eastAsia="it-IT"/>
        </w:rPr>
      </w:pPr>
      <w:bookmarkStart w:id="0" w:name="_Hlk508965764"/>
      <w:bookmarkEnd w:id="0"/>
      <w:r>
        <w:rPr>
          <w:rFonts w:eastAsia="Times New Roman" w:cs="Times New Roman" w:ascii="Garamond" w:hAnsi="Garamond"/>
          <w:color w:val="000000"/>
          <w:sz w:val="24"/>
          <w:szCs w:val="24"/>
          <w:lang w:eastAsia="it-IT"/>
        </w:rPr>
        <w:t>Ai sensi dell’art. 4.2 della D.G.R. 17/01/2018 n. 7763 l’attivazione di tirocini curriculari è riservata alle istituzioni presso le quali risulta iscritto il tirocinante o a soggetti ad essa collegati in possesso dei requisiti previsti per l’attivazione dei tirocini.</w:t>
      </w:r>
    </w:p>
    <w:p>
      <w:pPr>
        <w:pStyle w:val="ListParagraph"/>
        <w:spacing w:lineRule="auto" w:line="240" w:before="0" w:after="0"/>
        <w:ind w:left="360" w:hanging="0"/>
        <w:contextualSpacing/>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bookmarkStart w:id="1" w:name="Copia_di__Hlk508965764_1"/>
      <w:bookmarkStart w:id="2" w:name="Copia_di__Hlk508965764_1"/>
      <w:bookmarkEnd w:id="2"/>
    </w:p>
    <w:p>
      <w:pPr>
        <w:pStyle w:val="Normal"/>
        <w:tabs>
          <w:tab w:val="clear" w:pos="708"/>
          <w:tab w:val="left" w:pos="8931" w:leader="none"/>
        </w:tabs>
        <w:spacing w:lineRule="auto" w:line="240" w:before="0" w:after="0"/>
        <w:jc w:val="center"/>
        <w:rPr>
          <w:rFonts w:ascii="Garamond" w:hAnsi="Garamond" w:eastAsia="Times New Roman" w:cs="Arial"/>
          <w:b/>
          <w:color w:val="000000"/>
          <w:sz w:val="24"/>
          <w:szCs w:val="24"/>
          <w:lang w:eastAsia="it-IT"/>
        </w:rPr>
      </w:pPr>
      <w:r>
        <w:rPr>
          <w:rFonts w:eastAsia="Times New Roman" w:cs="Arial" w:ascii="Garamond" w:hAnsi="Garamond"/>
          <w:b/>
          <w:color w:val="000000"/>
          <w:sz w:val="24"/>
          <w:szCs w:val="24"/>
          <w:lang w:eastAsia="it-IT"/>
        </w:rPr>
      </w:r>
    </w:p>
    <w:p>
      <w:pPr>
        <w:pStyle w:val="Normal"/>
        <w:tabs>
          <w:tab w:val="clear" w:pos="708"/>
          <w:tab w:val="left" w:pos="8931" w:leader="none"/>
        </w:tabs>
        <w:spacing w:lineRule="auto" w:line="240" w:before="0" w:after="0"/>
        <w:jc w:val="center"/>
        <w:rPr>
          <w:rFonts w:ascii="Garamond" w:hAnsi="Garamond" w:eastAsia="Times New Roman" w:cs="Arial"/>
          <w:b/>
          <w:color w:val="000000"/>
          <w:sz w:val="24"/>
          <w:szCs w:val="24"/>
          <w:lang w:eastAsia="it-IT"/>
        </w:rPr>
      </w:pPr>
      <w:r>
        <w:rPr>
          <w:rFonts w:eastAsia="Times New Roman" w:cs="Arial" w:ascii="Garamond" w:hAnsi="Garamond"/>
          <w:b/>
          <w:color w:val="000000"/>
          <w:sz w:val="24"/>
          <w:szCs w:val="24"/>
          <w:lang w:eastAsia="it-IT"/>
        </w:rPr>
        <w:t>SI CONVIENE QUANTO SEGUE:</w:t>
      </w:r>
    </w:p>
    <w:p>
      <w:pPr>
        <w:pStyle w:val="Normal"/>
        <w:tabs>
          <w:tab w:val="clear" w:pos="708"/>
          <w:tab w:val="left" w:pos="8931" w:leader="none"/>
        </w:tabs>
        <w:spacing w:lineRule="auto" w:line="240" w:before="0" w:after="0"/>
        <w:jc w:val="center"/>
        <w:rPr>
          <w:rFonts w:ascii="Garamond" w:hAnsi="Garamond" w:eastAsia="Times New Roman" w:cs="Arial"/>
          <w:color w:val="000000"/>
          <w:sz w:val="24"/>
          <w:szCs w:val="24"/>
          <w:lang w:eastAsia="it-IT"/>
        </w:rPr>
      </w:pPr>
      <w:r>
        <w:rPr>
          <w:rFonts w:eastAsia="Times New Roman" w:cs="Arial" w:ascii="Garamond" w:hAnsi="Garamond"/>
          <w:color w:val="000000"/>
          <w:sz w:val="24"/>
          <w:szCs w:val="24"/>
          <w:lang w:eastAsia="it-IT"/>
        </w:rPr>
      </w:r>
    </w:p>
    <w:p>
      <w:pPr>
        <w:pStyle w:val="Normal"/>
        <w:tabs>
          <w:tab w:val="clear" w:pos="708"/>
          <w:tab w:val="left" w:pos="8931" w:leader="none"/>
        </w:tabs>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t>ARTICOLO 1</w:t>
      </w:r>
    </w:p>
    <w:p>
      <w:pPr>
        <w:pStyle w:val="Normal"/>
        <w:spacing w:lineRule="auto" w:line="240" w:before="0" w:after="0"/>
        <w:jc w:val="center"/>
        <w:rPr>
          <w:rFonts w:ascii="Garamond" w:hAnsi="Garamond" w:cs="Times New Roman"/>
          <w:b/>
          <w:bCs/>
          <w:sz w:val="24"/>
          <w:szCs w:val="24"/>
        </w:rPr>
      </w:pPr>
      <w:r>
        <w:rPr>
          <w:rFonts w:cs="Times New Roman" w:ascii="Garamond" w:hAnsi="Garamond"/>
          <w:b/>
          <w:sz w:val="24"/>
          <w:szCs w:val="24"/>
        </w:rPr>
        <w:t xml:space="preserve">Oggetto </w:t>
      </w:r>
      <w:r>
        <w:rPr>
          <w:rFonts w:cs="Times New Roman" w:ascii="Garamond" w:hAnsi="Garamond"/>
          <w:b/>
          <w:bCs/>
          <w:sz w:val="24"/>
          <w:szCs w:val="24"/>
        </w:rPr>
        <w:t>della Convenzione</w:t>
      </w:r>
    </w:p>
    <w:p>
      <w:pPr>
        <w:pStyle w:val="Normal"/>
        <w:tabs>
          <w:tab w:val="clear" w:pos="708"/>
          <w:tab w:val="left" w:pos="284" w:leader="none"/>
        </w:tabs>
        <w:spacing w:lineRule="auto" w:line="240" w:before="0" w:after="0"/>
        <w:jc w:val="both"/>
        <w:rPr>
          <w:rFonts w:ascii="Garamond" w:hAnsi="Garamond" w:cs="Times New Roman"/>
          <w:sz w:val="24"/>
          <w:szCs w:val="24"/>
        </w:rPr>
      </w:pPr>
      <w:r>
        <w:rPr>
          <w:rFonts w:cs="Times New Roman" w:ascii="Garamond" w:hAnsi="Garamond"/>
          <w:sz w:val="24"/>
          <w:szCs w:val="24"/>
        </w:rPr>
        <w:t xml:space="preserve">Il Comune di Malnate si impegna ad accogliere presso le sue strutture </w:t>
      </w:r>
      <w:r>
        <w:rPr>
          <w:rFonts w:eastAsia="Times New Roman" w:cs="Times New Roman" w:ascii="Garamond" w:hAnsi="Garamond"/>
          <w:color w:val="000000"/>
          <w:sz w:val="24"/>
          <w:szCs w:val="24"/>
          <w:lang w:eastAsia="it-IT"/>
        </w:rPr>
        <w:t xml:space="preserve">i soggetti in possesso degli specifici requisiti previsti dagli Indirizzi regionali e di seguito denominati collettivamente “tirocinante” per lo svolgimento di </w:t>
      </w:r>
    </w:p>
    <w:p>
      <w:pPr>
        <w:pStyle w:val="ListParagraph"/>
        <w:numPr>
          <w:ilvl w:val="0"/>
          <w:numId w:val="9"/>
        </w:numPr>
        <w:tabs>
          <w:tab w:val="clear" w:pos="708"/>
          <w:tab w:val="left" w:pos="8931" w:leader="none"/>
        </w:tabs>
        <w:spacing w:lineRule="auto" w:line="240" w:before="0" w:after="0"/>
        <w:contextualSpacing/>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tirocini extracurriculari (“formativi, di orientamento” e di “inserimento/reinserimento lavorativo”)</w:t>
      </w:r>
    </w:p>
    <w:p>
      <w:pPr>
        <w:pStyle w:val="ListParagraph"/>
        <w:numPr>
          <w:ilvl w:val="0"/>
          <w:numId w:val="9"/>
        </w:numPr>
        <w:tabs>
          <w:tab w:val="clear" w:pos="708"/>
          <w:tab w:val="left" w:pos="8931" w:leader="none"/>
        </w:tabs>
        <w:spacing w:lineRule="auto" w:line="240" w:before="0" w:after="0"/>
        <w:contextualSpacing/>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 xml:space="preserve">tirocini curriculari </w:t>
      </w:r>
    </w:p>
    <w:p>
      <w:pPr>
        <w:pStyle w:val="Normal"/>
        <w:spacing w:lineRule="auto" w:line="240" w:before="0" w:after="0"/>
        <w:jc w:val="both"/>
        <w:rPr>
          <w:rFonts w:ascii="Garamond" w:hAnsi="Garamond" w:cs="Times New Roman"/>
          <w:sz w:val="24"/>
          <w:szCs w:val="24"/>
        </w:rPr>
      </w:pPr>
      <w:r>
        <w:rPr>
          <w:rFonts w:cs="Times New Roman" w:ascii="Garamond" w:hAnsi="Garamond"/>
          <w:sz w:val="24"/>
          <w:szCs w:val="24"/>
        </w:rPr>
        <w:t>su proposta del soggetto promotore (Università degli Studi dell’Insubria).</w:t>
      </w:r>
    </w:p>
    <w:p>
      <w:pPr>
        <w:pStyle w:val="Normal"/>
        <w:spacing w:lineRule="auto" w:line="240" w:before="0" w:after="0"/>
        <w:ind w:firstLine="284"/>
        <w:jc w:val="center"/>
        <w:rPr>
          <w:rFonts w:ascii="Garamond" w:hAnsi="Garamond" w:cs="Times New Roman"/>
          <w:b/>
          <w:sz w:val="24"/>
          <w:szCs w:val="24"/>
        </w:rPr>
      </w:pPr>
      <w:r>
        <w:rPr>
          <w:rFonts w:cs="Times New Roman" w:ascii="Garamond" w:hAnsi="Garamond"/>
          <w:b/>
          <w:sz w:val="24"/>
          <w:szCs w:val="24"/>
        </w:rPr>
      </w:r>
    </w:p>
    <w:p>
      <w:pPr>
        <w:pStyle w:val="Normal"/>
        <w:spacing w:lineRule="auto" w:line="240" w:before="0" w:after="0"/>
        <w:ind w:firstLine="284"/>
        <w:jc w:val="center"/>
        <w:rPr>
          <w:rFonts w:ascii="Garamond" w:hAnsi="Garamond" w:cs="Times New Roman"/>
          <w:b/>
          <w:sz w:val="24"/>
          <w:szCs w:val="24"/>
        </w:rPr>
      </w:pPr>
      <w:r>
        <w:rPr>
          <w:rFonts w:cs="Times New Roman" w:ascii="Garamond" w:hAnsi="Garamond"/>
          <w:b/>
          <w:sz w:val="24"/>
          <w:szCs w:val="24"/>
        </w:rPr>
      </w:r>
    </w:p>
    <w:p>
      <w:pPr>
        <w:pStyle w:val="Normal"/>
        <w:spacing w:lineRule="auto" w:line="240" w:before="0" w:after="0"/>
        <w:ind w:firstLine="284"/>
        <w:jc w:val="center"/>
        <w:rPr>
          <w:rFonts w:ascii="Garamond" w:hAnsi="Garamond" w:cs="Times New Roman"/>
          <w:b/>
          <w:sz w:val="24"/>
          <w:szCs w:val="24"/>
        </w:rPr>
      </w:pPr>
      <w:r>
        <w:rPr>
          <w:rFonts w:cs="Times New Roman" w:ascii="Garamond" w:hAnsi="Garamond"/>
          <w:b/>
          <w:sz w:val="24"/>
          <w:szCs w:val="24"/>
        </w:rPr>
      </w:r>
    </w:p>
    <w:p>
      <w:pPr>
        <w:pStyle w:val="Normal"/>
        <w:spacing w:lineRule="auto" w:line="240" w:before="0" w:after="0"/>
        <w:ind w:firstLine="284"/>
        <w:jc w:val="center"/>
        <w:rPr>
          <w:rFonts w:ascii="Garamond" w:hAnsi="Garamond" w:cs="Times New Roman"/>
          <w:b/>
          <w:sz w:val="24"/>
          <w:szCs w:val="24"/>
        </w:rPr>
      </w:pPr>
      <w:r>
        <w:rPr>
          <w:rFonts w:cs="Times New Roman" w:ascii="Garamond" w:hAnsi="Garamond"/>
          <w:b/>
          <w:sz w:val="24"/>
          <w:szCs w:val="24"/>
        </w:rPr>
      </w:r>
    </w:p>
    <w:p>
      <w:pPr>
        <w:pStyle w:val="Normal"/>
        <w:spacing w:lineRule="auto" w:line="240" w:before="0" w:after="0"/>
        <w:ind w:firstLine="284"/>
        <w:jc w:val="center"/>
        <w:rPr>
          <w:rFonts w:ascii="Garamond" w:hAnsi="Garamond" w:cs="Times New Roman"/>
          <w:b/>
          <w:sz w:val="24"/>
          <w:szCs w:val="24"/>
        </w:rPr>
      </w:pPr>
      <w:r>
        <w:rPr>
          <w:rFonts w:cs="Times New Roman" w:ascii="Garamond" w:hAnsi="Garamond"/>
          <w:b/>
          <w:sz w:val="24"/>
          <w:szCs w:val="24"/>
        </w:rPr>
      </w:r>
    </w:p>
    <w:p>
      <w:pPr>
        <w:pStyle w:val="Normal"/>
        <w:spacing w:lineRule="auto" w:line="240" w:before="0" w:after="0"/>
        <w:ind w:firstLine="284"/>
        <w:jc w:val="center"/>
        <w:rPr>
          <w:rFonts w:ascii="Garamond" w:hAnsi="Garamond" w:cs="Times New Roman"/>
          <w:b/>
          <w:sz w:val="24"/>
          <w:szCs w:val="24"/>
        </w:rPr>
      </w:pPr>
      <w:r>
        <w:rPr>
          <w:rFonts w:cs="Times New Roman" w:ascii="Garamond" w:hAnsi="Garamond"/>
          <w:b/>
          <w:sz w:val="24"/>
          <w:szCs w:val="24"/>
        </w:rPr>
        <w:t>ARTICOLO 2</w:t>
      </w:r>
    </w:p>
    <w:p>
      <w:pPr>
        <w:pStyle w:val="Normal"/>
        <w:spacing w:lineRule="auto" w:line="240" w:before="0" w:after="0"/>
        <w:ind w:firstLine="284"/>
        <w:jc w:val="center"/>
        <w:rPr>
          <w:rFonts w:ascii="Garamond" w:hAnsi="Garamond" w:cs="Times New Roman"/>
          <w:b/>
          <w:sz w:val="24"/>
          <w:szCs w:val="24"/>
        </w:rPr>
      </w:pPr>
      <w:r>
        <w:rPr>
          <w:rFonts w:cs="Times New Roman" w:ascii="Garamond" w:hAnsi="Garamond"/>
          <w:b/>
          <w:sz w:val="24"/>
          <w:szCs w:val="24"/>
        </w:rPr>
        <w:t>Durata del tirocinio</w:t>
      </w:r>
    </w:p>
    <w:p>
      <w:pPr>
        <w:pStyle w:val="Normal"/>
        <w:numPr>
          <w:ilvl w:val="0"/>
          <w:numId w:val="1"/>
        </w:numPr>
        <w:tabs>
          <w:tab w:val="clear" w:pos="708"/>
          <w:tab w:val="left" w:pos="284" w:leader="none"/>
        </w:tabs>
        <w:spacing w:lineRule="auto" w:line="240" w:before="0" w:after="0"/>
        <w:ind w:left="284" w:hanging="284"/>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 xml:space="preserve">Il tirocinio sarà svolto nell’arco temporale definito nel Progetto Formativo Individuale, entro i limiti massimi previsti dagli Indirizzi regionali per la specifica tipologia di tirocinio. Per i tirocini curriculari, la durata del tirocinio è stabilita dalle disposizioni degli ordinamenti di studio o dei piani formativi. Eventuali periodi di sospensione non concorrono al computo della durata complessiva del tirocinio. </w:t>
      </w:r>
    </w:p>
    <w:p>
      <w:pPr>
        <w:pStyle w:val="Normal"/>
        <w:numPr>
          <w:ilvl w:val="0"/>
          <w:numId w:val="1"/>
        </w:numPr>
        <w:tabs>
          <w:tab w:val="clear" w:pos="708"/>
          <w:tab w:val="left" w:pos="284" w:leader="none"/>
        </w:tabs>
        <w:spacing w:lineRule="auto" w:line="240" w:before="0" w:after="0"/>
        <w:ind w:left="284" w:hanging="284"/>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La durata definita nel Progetto Formativo Individuale potrà essere prorogata entro i limiti massimi previsti dagli Indirizzi regionali per la specifica tipologia di tirocinio, previo accordo tra le parti (soggetto promotore, soggetto ospitante e tirocinante), e fermi restando tutti gli obblighi definiti con questa Convenzione e nel Progetto Formativo Individuale. Per i tirocini extracurriculari la proroga può essere attivata a condizione della previsione di raggiungimento di almeno una competenza di livello EQF pari o superiore al 4°.</w:t>
      </w:r>
    </w:p>
    <w:p>
      <w:pPr>
        <w:pStyle w:val="Normal"/>
        <w:tabs>
          <w:tab w:val="clear" w:pos="708"/>
          <w:tab w:val="left" w:pos="284" w:leader="none"/>
        </w:tabs>
        <w:spacing w:lineRule="auto" w:line="240" w:before="0" w:after="0"/>
        <w:ind w:left="284" w:hanging="0"/>
        <w:jc w:val="both"/>
        <w:rPr>
          <w:rFonts w:ascii="Garamond" w:hAnsi="Garamond" w:cs="Times New Roman"/>
          <w:sz w:val="24"/>
          <w:szCs w:val="24"/>
        </w:rPr>
      </w:pPr>
      <w:r>
        <w:rPr>
          <w:rFonts w:cs="Times New Roman" w:ascii="Garamond" w:hAnsi="Garamond"/>
          <w:sz w:val="24"/>
          <w:szCs w:val="24"/>
        </w:rPr>
      </w:r>
    </w:p>
    <w:p>
      <w:pPr>
        <w:pStyle w:val="Normal"/>
        <w:spacing w:lineRule="auto" w:line="240" w:before="0" w:after="0"/>
        <w:ind w:firstLine="284"/>
        <w:jc w:val="center"/>
        <w:rPr>
          <w:rFonts w:ascii="Garamond" w:hAnsi="Garamond" w:cs="Times New Roman"/>
          <w:b/>
          <w:sz w:val="24"/>
          <w:szCs w:val="24"/>
        </w:rPr>
      </w:pPr>
      <w:r>
        <w:rPr>
          <w:rFonts w:cs="Times New Roman" w:ascii="Garamond" w:hAnsi="Garamond"/>
          <w:b/>
          <w:sz w:val="24"/>
          <w:szCs w:val="24"/>
        </w:rPr>
        <w:t>ARTICOLO 3</w:t>
      </w:r>
    </w:p>
    <w:p>
      <w:pPr>
        <w:pStyle w:val="Normal"/>
        <w:spacing w:lineRule="auto" w:line="240" w:before="0" w:after="0"/>
        <w:ind w:firstLine="284"/>
        <w:jc w:val="center"/>
        <w:rPr>
          <w:rFonts w:ascii="Garamond" w:hAnsi="Garamond" w:cs="Times New Roman"/>
          <w:b/>
          <w:sz w:val="24"/>
          <w:szCs w:val="24"/>
        </w:rPr>
      </w:pPr>
      <w:r>
        <w:rPr>
          <w:rFonts w:cs="Times New Roman" w:ascii="Garamond" w:hAnsi="Garamond"/>
          <w:b/>
          <w:sz w:val="24"/>
          <w:szCs w:val="24"/>
        </w:rPr>
        <w:t>Progetto Formativo Individuale</w:t>
      </w:r>
    </w:p>
    <w:p>
      <w:pPr>
        <w:pStyle w:val="Normal"/>
        <w:numPr>
          <w:ilvl w:val="0"/>
          <w:numId w:val="2"/>
        </w:numPr>
        <w:tabs>
          <w:tab w:val="clear" w:pos="708"/>
          <w:tab w:val="left" w:pos="284" w:leader="none"/>
        </w:tabs>
        <w:spacing w:lineRule="auto" w:line="240" w:before="0" w:after="0"/>
        <w:ind w:left="284" w:hanging="284"/>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Gli obiettivi, le modalità e le regole di svolgimento del tirocinio sono definiti dal Progetto Formativo Individuale che deve essere sottoscritto dalle parti e dal tirocinante e costituisce parte integrante della presente Convenzione.</w:t>
      </w:r>
    </w:p>
    <w:p>
      <w:pPr>
        <w:pStyle w:val="Normal"/>
        <w:numPr>
          <w:ilvl w:val="0"/>
          <w:numId w:val="2"/>
        </w:numPr>
        <w:tabs>
          <w:tab w:val="clear" w:pos="708"/>
          <w:tab w:val="left" w:pos="284" w:leader="none"/>
        </w:tabs>
        <w:spacing w:lineRule="auto" w:line="240" w:before="0" w:after="0"/>
        <w:ind w:left="284" w:hanging="284"/>
        <w:jc w:val="both"/>
        <w:rPr>
          <w:rFonts w:ascii="Garamond" w:hAnsi="Garamond" w:cs="Times New Roman"/>
          <w:b/>
          <w:i/>
          <w:i/>
          <w:sz w:val="24"/>
          <w:szCs w:val="24"/>
        </w:rPr>
      </w:pPr>
      <w:r>
        <w:rPr>
          <w:rFonts w:eastAsia="Times New Roman" w:cs="Times New Roman" w:ascii="Garamond" w:hAnsi="Garamond"/>
          <w:color w:val="000000"/>
          <w:sz w:val="24"/>
          <w:szCs w:val="24"/>
          <w:lang w:eastAsia="it-IT"/>
        </w:rPr>
        <w:t>Le parti si obbligano a garantire al tirocinante la formazione prevista nel Progetto Formativo Individuale, anche attraverso le funzioni di tutoraggio di cui all’articolo 2.3 degli Indirizzi regionali e la formazione in materia di salute e sicurezza secondo quanto previsto dal successivo art. 7.</w:t>
      </w:r>
    </w:p>
    <w:p>
      <w:pPr>
        <w:pStyle w:val="Normal"/>
        <w:tabs>
          <w:tab w:val="clear" w:pos="708"/>
          <w:tab w:val="left" w:pos="284" w:leader="none"/>
        </w:tabs>
        <w:spacing w:lineRule="auto" w:line="240" w:before="0" w:after="0"/>
        <w:jc w:val="center"/>
        <w:rPr>
          <w:rFonts w:ascii="Garamond" w:hAnsi="Garamond" w:cs="Times New Roman"/>
          <w:b/>
          <w:i/>
          <w:i/>
          <w:sz w:val="24"/>
          <w:szCs w:val="24"/>
        </w:rPr>
      </w:pPr>
      <w:r>
        <w:rPr>
          <w:rFonts w:cs="Times New Roman" w:ascii="Garamond" w:hAnsi="Garamond"/>
          <w:b/>
          <w:i/>
          <w:sz w:val="24"/>
          <w:szCs w:val="24"/>
        </w:rPr>
      </w:r>
    </w:p>
    <w:p>
      <w:pPr>
        <w:pStyle w:val="Normal"/>
        <w:tabs>
          <w:tab w:val="clear" w:pos="708"/>
          <w:tab w:val="left" w:pos="284" w:leader="none"/>
        </w:tabs>
        <w:spacing w:lineRule="auto" w:line="240" w:before="0" w:after="0"/>
        <w:jc w:val="center"/>
        <w:rPr>
          <w:rFonts w:ascii="Garamond" w:hAnsi="Garamond" w:cs="Times New Roman"/>
          <w:b/>
          <w:sz w:val="24"/>
          <w:szCs w:val="24"/>
        </w:rPr>
      </w:pPr>
      <w:r>
        <w:rPr>
          <w:rFonts w:cs="Times New Roman" w:ascii="Garamond" w:hAnsi="Garamond"/>
          <w:b/>
          <w:sz w:val="24"/>
          <w:szCs w:val="24"/>
        </w:rPr>
        <w:t>ARTICOLO 4</w:t>
      </w:r>
    </w:p>
    <w:p>
      <w:pPr>
        <w:pStyle w:val="Normal"/>
        <w:spacing w:lineRule="auto" w:line="240" w:before="0" w:after="0"/>
        <w:ind w:firstLine="284"/>
        <w:jc w:val="center"/>
        <w:rPr>
          <w:rFonts w:ascii="Garamond" w:hAnsi="Garamond" w:cs="Times New Roman"/>
          <w:b/>
          <w:sz w:val="24"/>
          <w:szCs w:val="24"/>
        </w:rPr>
      </w:pPr>
      <w:r>
        <w:rPr>
          <w:rFonts w:cs="Times New Roman" w:ascii="Garamond" w:hAnsi="Garamond"/>
          <w:b/>
          <w:sz w:val="24"/>
          <w:szCs w:val="24"/>
        </w:rPr>
        <w:t>Le funzioni di tutoraggio</w:t>
      </w:r>
    </w:p>
    <w:p>
      <w:pPr>
        <w:pStyle w:val="Normal"/>
        <w:numPr>
          <w:ilvl w:val="0"/>
          <w:numId w:val="3"/>
        </w:numPr>
        <w:tabs>
          <w:tab w:val="clear" w:pos="708"/>
          <w:tab w:val="left" w:pos="284" w:leader="none"/>
        </w:tabs>
        <w:spacing w:lineRule="auto" w:line="240" w:before="0" w:after="0"/>
        <w:ind w:left="284" w:hanging="284"/>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Durante lo svolgimento del tirocinio le attività sono seguite e verificate dal tutor del soggetto promotore e dal tutor del soggetto ospitante, indicati nel Progetto Formativo Individuale. Ciascuna delle parti potrà effettuare motivate sostituzioni del personale indicato in avvio, previa comunicazione alle parti interessate (tirocinante e soggetto promotore o soggetto ospitante).</w:t>
      </w:r>
    </w:p>
    <w:p>
      <w:pPr>
        <w:pStyle w:val="Normal"/>
        <w:numPr>
          <w:ilvl w:val="0"/>
          <w:numId w:val="3"/>
        </w:numPr>
        <w:tabs>
          <w:tab w:val="clear" w:pos="708"/>
          <w:tab w:val="left" w:pos="284" w:leader="none"/>
        </w:tabs>
        <w:spacing w:lineRule="auto" w:line="240" w:before="0" w:after="0"/>
        <w:ind w:left="284" w:hanging="284"/>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 xml:space="preserve">Il tutor del soggetto promotore è individuato nel rispetto dei requisiti indicati dagli Indirizzi regionali; </w:t>
      </w:r>
      <w:bookmarkStart w:id="3" w:name="_Hlk510030873"/>
      <w:r>
        <w:rPr>
          <w:rFonts w:eastAsia="Times New Roman" w:cs="Times New Roman" w:ascii="Garamond" w:hAnsi="Garamond"/>
          <w:color w:val="000000"/>
          <w:sz w:val="24"/>
          <w:szCs w:val="24"/>
          <w:lang w:eastAsia="it-IT"/>
        </w:rPr>
        <w:t>elabora, d’intesa con il tutor del soggetto ospitante, il Progetto Formativo</w:t>
      </w:r>
      <w:bookmarkEnd w:id="3"/>
      <w:r>
        <w:rPr>
          <w:rFonts w:eastAsia="Times New Roman" w:cs="Times New Roman" w:ascii="Garamond" w:hAnsi="Garamond"/>
          <w:color w:val="000000"/>
          <w:sz w:val="24"/>
          <w:szCs w:val="24"/>
          <w:lang w:eastAsia="it-IT"/>
        </w:rPr>
        <w:t xml:space="preserve"> Individuale e si occupa dell’organizzazione e del monitoraggio del tirocinio, della redazione del Dossier Individuale e delle attestazioni finali. </w:t>
      </w:r>
    </w:p>
    <w:p>
      <w:pPr>
        <w:pStyle w:val="Normal"/>
        <w:numPr>
          <w:ilvl w:val="0"/>
          <w:numId w:val="3"/>
        </w:numPr>
        <w:tabs>
          <w:tab w:val="clear" w:pos="708"/>
          <w:tab w:val="left" w:pos="284" w:leader="none"/>
        </w:tabs>
        <w:spacing w:lineRule="auto" w:line="240" w:before="0" w:after="0"/>
        <w:ind w:left="284" w:hanging="284"/>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Il tutor del soggetto ospitante è nominato nel rispetto dei requisiti indicati dagli Indirizzi regionali; è responsabile dell’attuazione del Progetto Formativo Individuale e dell’inserimento e affiancamento del tirocinante sul luogo di lavoro per tutta la durata del tirocinio, anche curando la registrazione dell’effettivo svolgimento delle attività previste nel Progetto Formativo Individuale.</w:t>
      </w:r>
    </w:p>
    <w:p>
      <w:pPr>
        <w:pStyle w:val="Normal"/>
        <w:numPr>
          <w:ilvl w:val="0"/>
          <w:numId w:val="3"/>
        </w:numPr>
        <w:tabs>
          <w:tab w:val="clear" w:pos="708"/>
          <w:tab w:val="left" w:pos="284" w:leader="none"/>
        </w:tabs>
        <w:spacing w:lineRule="auto" w:line="240" w:before="0" w:after="0"/>
        <w:ind w:left="284" w:hanging="284"/>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Per i tirocini curriculari, la valutazione e certificazione dei risultati dell’attività svolta, sulla base della validazione operata anche dal tutor aziendale, avviene nell’ambito della certificazione complessiva del percorso formativo.</w:t>
      </w:r>
    </w:p>
    <w:p>
      <w:pPr>
        <w:pStyle w:val="Normal"/>
        <w:spacing w:lineRule="auto" w:line="240" w:before="0" w:after="0"/>
        <w:ind w:firstLine="284"/>
        <w:jc w:val="center"/>
        <w:rPr>
          <w:rFonts w:ascii="Garamond" w:hAnsi="Garamond" w:cs="Times New Roman"/>
          <w:b/>
          <w:sz w:val="24"/>
          <w:szCs w:val="24"/>
        </w:rPr>
      </w:pPr>
      <w:r>
        <w:rPr>
          <w:rFonts w:cs="Times New Roman" w:ascii="Garamond" w:hAnsi="Garamond"/>
          <w:b/>
          <w:sz w:val="24"/>
          <w:szCs w:val="24"/>
        </w:rPr>
      </w:r>
    </w:p>
    <w:p>
      <w:pPr>
        <w:pStyle w:val="Normal"/>
        <w:spacing w:lineRule="auto" w:line="240" w:before="0" w:after="0"/>
        <w:ind w:firstLine="284"/>
        <w:jc w:val="center"/>
        <w:rPr>
          <w:rFonts w:ascii="Garamond" w:hAnsi="Garamond" w:cs="Times New Roman"/>
          <w:b/>
          <w:sz w:val="24"/>
          <w:szCs w:val="24"/>
        </w:rPr>
      </w:pPr>
      <w:r>
        <w:rPr>
          <w:rFonts w:cs="Times New Roman" w:ascii="Garamond" w:hAnsi="Garamond"/>
          <w:b/>
          <w:sz w:val="24"/>
          <w:szCs w:val="24"/>
        </w:rPr>
        <w:t>ARTICOLO 5</w:t>
      </w:r>
    </w:p>
    <w:p>
      <w:pPr>
        <w:pStyle w:val="Normal"/>
        <w:spacing w:lineRule="auto" w:line="240" w:before="0" w:after="0"/>
        <w:ind w:firstLine="284"/>
        <w:jc w:val="center"/>
        <w:rPr>
          <w:rFonts w:ascii="Garamond" w:hAnsi="Garamond" w:cs="Times New Roman"/>
          <w:b/>
          <w:sz w:val="24"/>
          <w:szCs w:val="24"/>
        </w:rPr>
      </w:pPr>
      <w:r>
        <w:rPr>
          <w:rFonts w:cs="Times New Roman" w:ascii="Garamond" w:hAnsi="Garamond"/>
          <w:b/>
          <w:sz w:val="24"/>
          <w:szCs w:val="24"/>
        </w:rPr>
        <w:t>Indennità di partecipazione</w:t>
      </w:r>
    </w:p>
    <w:p>
      <w:pPr>
        <w:pStyle w:val="Normal"/>
        <w:numPr>
          <w:ilvl w:val="0"/>
          <w:numId w:val="4"/>
        </w:numPr>
        <w:tabs>
          <w:tab w:val="clear" w:pos="708"/>
          <w:tab w:val="left" w:pos="284" w:leader="none"/>
        </w:tabs>
        <w:spacing w:lineRule="auto" w:line="240" w:before="0" w:after="0"/>
        <w:ind w:left="284" w:hanging="284"/>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 xml:space="preserve">In merito alla corresponsione al tirocinante dell’indennità di partecipazione, obbligatoria per i </w:t>
      </w:r>
      <w:r>
        <w:rPr>
          <w:rFonts w:eastAsia="Times New Roman" w:cs="Times New Roman" w:ascii="Garamond" w:hAnsi="Garamond"/>
          <w:b/>
          <w:color w:val="000000"/>
          <w:sz w:val="24"/>
          <w:szCs w:val="24"/>
          <w:lang w:eastAsia="it-IT"/>
        </w:rPr>
        <w:t>tirocini extracurriculari</w:t>
      </w:r>
      <w:r>
        <w:rPr>
          <w:rFonts w:eastAsia="Times New Roman" w:cs="Times New Roman" w:ascii="Garamond" w:hAnsi="Garamond"/>
          <w:color w:val="000000"/>
          <w:sz w:val="24"/>
          <w:szCs w:val="24"/>
          <w:lang w:eastAsia="it-IT"/>
        </w:rPr>
        <w:t>, nel rispetto di quanto disciplinato all’articolo 3.8 degli Indirizzi regionali, le parti concordano che</w:t>
      </w:r>
    </w:p>
    <w:p>
      <w:pPr>
        <w:pStyle w:val="ListParagraph"/>
        <w:numPr>
          <w:ilvl w:val="1"/>
          <w:numId w:val="4"/>
        </w:numPr>
        <w:shd w:val="clear" w:color="auto" w:fill="FFFFFF" w:themeFill="background1"/>
        <w:tabs>
          <w:tab w:val="clear" w:pos="708"/>
          <w:tab w:val="left" w:pos="709" w:leader="none"/>
        </w:tabs>
        <w:spacing w:lineRule="auto" w:line="240" w:before="0" w:after="0"/>
        <w:ind w:left="709" w:hanging="425"/>
        <w:contextualSpacing/>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Il soggetto ospitante si farà carico della corresponsione dell’indennità.</w:t>
      </w:r>
    </w:p>
    <w:p>
      <w:pPr>
        <w:pStyle w:val="ListParagraph"/>
        <w:numPr>
          <w:ilvl w:val="1"/>
          <w:numId w:val="4"/>
        </w:numPr>
        <w:tabs>
          <w:tab w:val="clear" w:pos="708"/>
          <w:tab w:val="left" w:pos="8931" w:leader="none"/>
        </w:tabs>
        <w:spacing w:lineRule="auto" w:line="240" w:before="0" w:after="0"/>
        <w:contextualSpacing/>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 xml:space="preserve">L’indennità di partecipazione corrisposta al tirocinante è definita nel Progetto Formativo Individuale.  </w:t>
      </w:r>
    </w:p>
    <w:p>
      <w:pPr>
        <w:pStyle w:val="ListParagraph"/>
        <w:numPr>
          <w:ilvl w:val="1"/>
          <w:numId w:val="4"/>
        </w:numPr>
        <w:tabs>
          <w:tab w:val="clear" w:pos="708"/>
          <w:tab w:val="left" w:pos="8931" w:leader="none"/>
        </w:tabs>
        <w:spacing w:lineRule="auto" w:line="240" w:before="0" w:after="0"/>
        <w:contextualSpacing/>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 xml:space="preserve">L’indennità di partecipazione è erogata per intero a fronte di una partecipazione minima ai tirocini del 80% su base mensile. Qualora la partecipazione sia inferiore al 80% su base mensile, l’indennità di partecipazione viene ridotta proporzionalmente, fermo restando l’importo minimo di 300 euro mensili. </w:t>
      </w:r>
    </w:p>
    <w:p>
      <w:pPr>
        <w:pStyle w:val="ListParagraph"/>
        <w:numPr>
          <w:ilvl w:val="0"/>
          <w:numId w:val="4"/>
        </w:numPr>
        <w:tabs>
          <w:tab w:val="clear" w:pos="708"/>
          <w:tab w:val="left" w:pos="8931" w:leader="none"/>
        </w:tabs>
        <w:spacing w:lineRule="auto" w:line="240" w:before="0" w:after="0"/>
        <w:ind w:left="284" w:hanging="284"/>
        <w:contextualSpacing/>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 xml:space="preserve">In merito alla eventuale corresponsione al tirocinante dell’indennità di partecipazione per lo svolgimento di un </w:t>
      </w:r>
      <w:r>
        <w:rPr>
          <w:rFonts w:eastAsia="Times New Roman" w:cs="Times New Roman" w:ascii="Garamond" w:hAnsi="Garamond"/>
          <w:b/>
          <w:color w:val="000000"/>
          <w:sz w:val="24"/>
          <w:szCs w:val="24"/>
          <w:lang w:eastAsia="it-IT"/>
        </w:rPr>
        <w:t>tirocinio curriculare</w:t>
      </w:r>
      <w:r>
        <w:rPr>
          <w:rFonts w:eastAsia="Times New Roman" w:cs="Times New Roman" w:ascii="Garamond" w:hAnsi="Garamond"/>
          <w:color w:val="000000"/>
          <w:sz w:val="24"/>
          <w:szCs w:val="24"/>
          <w:lang w:eastAsia="it-IT"/>
        </w:rPr>
        <w:t xml:space="preserve">, nel rispetto di quanto disciplinato dall’articolo 4.2 degli Indirizzi regionali, le parti concordano che  </w:t>
      </w:r>
    </w:p>
    <w:p>
      <w:pPr>
        <w:pStyle w:val="ListParagraph"/>
        <w:numPr>
          <w:ilvl w:val="1"/>
          <w:numId w:val="4"/>
        </w:numPr>
        <w:shd w:val="clear" w:color="auto" w:fill="FFFFFF" w:themeFill="background1"/>
        <w:tabs>
          <w:tab w:val="clear" w:pos="708"/>
          <w:tab w:val="left" w:pos="709" w:leader="none"/>
        </w:tabs>
        <w:spacing w:lineRule="auto" w:line="240" w:before="0" w:after="0"/>
        <w:ind w:left="709" w:hanging="425"/>
        <w:contextualSpacing/>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 xml:space="preserve">L’eventuale indennità di partecipazione corrisposta al tirocinante è definita nel Progetto Formativo Individuale.  </w:t>
      </w:r>
    </w:p>
    <w:p>
      <w:pPr>
        <w:pStyle w:val="ListParagraph"/>
        <w:numPr>
          <w:ilvl w:val="1"/>
          <w:numId w:val="4"/>
        </w:numPr>
        <w:shd w:val="clear" w:color="auto" w:fill="FFFFFF" w:themeFill="background1"/>
        <w:tabs>
          <w:tab w:val="clear" w:pos="708"/>
          <w:tab w:val="left" w:pos="709" w:leader="none"/>
        </w:tabs>
        <w:spacing w:lineRule="auto" w:line="240" w:before="0" w:after="0"/>
        <w:ind w:left="709" w:hanging="425"/>
        <w:contextualSpacing/>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Il soggetto ospitante si farà carico della corresponsione dell’indennità, se prevista.</w:t>
      </w:r>
    </w:p>
    <w:p>
      <w:pPr>
        <w:pStyle w:val="ListParagraph"/>
        <w:numPr>
          <w:ilvl w:val="1"/>
          <w:numId w:val="4"/>
        </w:numPr>
        <w:shd w:val="clear" w:color="auto" w:fill="FFFFFF" w:themeFill="background1"/>
        <w:tabs>
          <w:tab w:val="clear" w:pos="708"/>
          <w:tab w:val="left" w:pos="709" w:leader="none"/>
        </w:tabs>
        <w:spacing w:lineRule="auto" w:line="240" w:before="0" w:after="0"/>
        <w:ind w:left="709" w:hanging="425"/>
        <w:contextualSpacing/>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L’indennità di partecipazione, se prevista, è erogata per intero a fronte di una partecipazione minima ai tirocini del 80% su base mensile. Qualora la partecipazione sia inferiore al 80% su base mensile, l’indennità di partecipazione viene ridotta proporzionalmente.</w:t>
      </w:r>
    </w:p>
    <w:p>
      <w:pPr>
        <w:pStyle w:val="Normal"/>
        <w:tabs>
          <w:tab w:val="clear" w:pos="708"/>
          <w:tab w:val="left" w:pos="8931" w:leader="none"/>
        </w:tabs>
        <w:spacing w:lineRule="auto" w:line="240" w:before="0" w:after="0"/>
        <w:ind w:left="284" w:hanging="284"/>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3. Nel caso di sospensione del tirocinio di cui al successivo articolo 9 non sussiste l’obbligo di corresponsione dell’indennità di partecipazione.</w:t>
      </w:r>
    </w:p>
    <w:p>
      <w:pPr>
        <w:pStyle w:val="Normal"/>
        <w:tabs>
          <w:tab w:val="clear" w:pos="708"/>
          <w:tab w:val="left" w:pos="284" w:leader="none"/>
          <w:tab w:val="left" w:pos="993" w:leader="none"/>
        </w:tabs>
        <w:spacing w:lineRule="auto" w:line="240" w:before="0" w:after="0"/>
        <w:ind w:left="360" w:hanging="0"/>
        <w:contextualSpacing/>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tabs>
          <w:tab w:val="clear" w:pos="708"/>
          <w:tab w:val="left" w:pos="8931" w:leader="none"/>
        </w:tabs>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t>ARTICOLO 6</w:t>
      </w:r>
    </w:p>
    <w:p>
      <w:pPr>
        <w:pStyle w:val="Normal"/>
        <w:tabs>
          <w:tab w:val="clear" w:pos="708"/>
          <w:tab w:val="left" w:pos="8931" w:leader="none"/>
        </w:tabs>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t>Garanzie assicurative e comunicazioni obbligatorie</w:t>
      </w:r>
    </w:p>
    <w:p>
      <w:pPr>
        <w:pStyle w:val="Normal"/>
        <w:numPr>
          <w:ilvl w:val="0"/>
          <w:numId w:val="6"/>
        </w:numPr>
        <w:tabs>
          <w:tab w:val="clear" w:pos="708"/>
          <w:tab w:val="left" w:pos="284" w:leader="none"/>
        </w:tabs>
        <w:spacing w:lineRule="auto" w:line="240" w:before="0" w:after="0"/>
        <w:ind w:left="284" w:hanging="284"/>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Il tirocinante è assicurato, a cura del soggetto promotore:</w:t>
      </w:r>
    </w:p>
    <w:p>
      <w:pPr>
        <w:pStyle w:val="Normal"/>
        <w:numPr>
          <w:ilvl w:val="0"/>
          <w:numId w:val="5"/>
        </w:numPr>
        <w:tabs>
          <w:tab w:val="clear" w:pos="708"/>
          <w:tab w:val="left" w:pos="709" w:leader="none"/>
        </w:tabs>
        <w:spacing w:lineRule="auto" w:line="240" w:before="0" w:after="0"/>
        <w:ind w:left="709" w:hanging="425"/>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 xml:space="preserve">presso l’Istituto Nazionale per l’assicurazione contro gli infortuni sul lavoro e le malattie professionali; </w:t>
      </w:r>
    </w:p>
    <w:p>
      <w:pPr>
        <w:pStyle w:val="Normal"/>
        <w:numPr>
          <w:ilvl w:val="0"/>
          <w:numId w:val="5"/>
        </w:numPr>
        <w:tabs>
          <w:tab w:val="clear" w:pos="708"/>
          <w:tab w:val="left" w:pos="709" w:leader="none"/>
        </w:tabs>
        <w:spacing w:lineRule="auto" w:line="240" w:before="0" w:after="0"/>
        <w:ind w:left="709" w:hanging="425"/>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presso idonea compagnia assicurativa per la responsabilità civile verso terzi.</w:t>
      </w:r>
    </w:p>
    <w:p>
      <w:pPr>
        <w:pStyle w:val="Normal"/>
        <w:numPr>
          <w:ilvl w:val="0"/>
          <w:numId w:val="6"/>
        </w:numPr>
        <w:tabs>
          <w:tab w:val="clear" w:pos="708"/>
          <w:tab w:val="left" w:pos="284" w:leader="none"/>
        </w:tabs>
        <w:spacing w:lineRule="auto" w:line="240" w:before="0" w:after="0"/>
        <w:ind w:left="284" w:hanging="284"/>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Le coperture assicurative riguardano anche le attività eventualmente svolte dal tirocinante al di fuori della sede operativa del soggetto ospitante e rientranti nel Progetto Formativo Individuale.</w:t>
      </w:r>
    </w:p>
    <w:p>
      <w:pPr>
        <w:pStyle w:val="Normal"/>
        <w:numPr>
          <w:ilvl w:val="0"/>
          <w:numId w:val="6"/>
        </w:numPr>
        <w:tabs>
          <w:tab w:val="clear" w:pos="708"/>
          <w:tab w:val="left" w:pos="284" w:leader="none"/>
        </w:tabs>
        <w:spacing w:lineRule="auto" w:line="240" w:before="0" w:after="0"/>
        <w:ind w:left="284" w:hanging="284"/>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L’invio delle comunicazioni obbligatorie è assolto dal soggetto ospitante (direttamente o tramite altri soggetti da lui delegati).</w:t>
      </w:r>
    </w:p>
    <w:p>
      <w:pPr>
        <w:pStyle w:val="Normal"/>
        <w:tabs>
          <w:tab w:val="clear" w:pos="708"/>
          <w:tab w:val="left" w:pos="8931" w:leader="none"/>
        </w:tabs>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r>
    </w:p>
    <w:p>
      <w:pPr>
        <w:pStyle w:val="Normal"/>
        <w:tabs>
          <w:tab w:val="clear" w:pos="708"/>
          <w:tab w:val="left" w:pos="8931" w:leader="none"/>
        </w:tabs>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t>ARTICOLO 7</w:t>
      </w:r>
    </w:p>
    <w:p>
      <w:pPr>
        <w:pStyle w:val="Normal"/>
        <w:tabs>
          <w:tab w:val="clear" w:pos="708"/>
          <w:tab w:val="left" w:pos="8931" w:leader="none"/>
        </w:tabs>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t>Misure in materia di tutela della salute e sicurezza nei luoghi di lavoro</w:t>
      </w:r>
    </w:p>
    <w:p>
      <w:pPr>
        <w:pStyle w:val="ListParagraph"/>
        <w:numPr>
          <w:ilvl w:val="0"/>
          <w:numId w:val="10"/>
        </w:numPr>
        <w:tabs>
          <w:tab w:val="clear" w:pos="708"/>
          <w:tab w:val="left" w:pos="8931" w:leader="none"/>
        </w:tabs>
        <w:spacing w:lineRule="auto" w:line="240" w:before="0" w:after="0"/>
        <w:ind w:left="284" w:hanging="284"/>
        <w:contextualSpacing/>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Come richiamato nell’Accordo in Conferenza Permanente per i rapporti tra lo Stato, le Regioni e le Province autonome di Trento e Bolzano n. 86/CSR del 25 maggio 2017, preso atto che ai sensi dell’art. 2 comma 1 lett. a) del D.Lgs. n. 81/08 “Testo Unico sulla salute e sicurezza sul lavoro”, il tirocinante, ai fini ed agli effetti delle disposizioni dello stesso decreto legislativo, deve essere inteso come “lavoratore”, il soggetto ospitante si impegna a farsi carico delle misure di tutela e degli obblighi stabiliti dalla normativa come segue:</w:t>
      </w:r>
    </w:p>
    <w:p>
      <w:pPr>
        <w:pStyle w:val="Normal"/>
        <w:numPr>
          <w:ilvl w:val="0"/>
          <w:numId w:val="7"/>
        </w:numPr>
        <w:tabs>
          <w:tab w:val="clear" w:pos="708"/>
          <w:tab w:val="left" w:pos="709" w:leader="none"/>
        </w:tabs>
        <w:spacing w:lineRule="auto" w:line="240" w:before="0" w:after="0"/>
        <w:ind w:left="851" w:hanging="425"/>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w:t>
      </w:r>
      <w:r>
        <w:rPr>
          <w:rFonts w:eastAsia="Times New Roman" w:cs="Times New Roman" w:ascii="Garamond" w:hAnsi="Garamond"/>
          <w:color w:val="000000"/>
          <w:sz w:val="24"/>
          <w:szCs w:val="24"/>
          <w:lang w:eastAsia="it-IT"/>
        </w:rPr>
        <w:t>Formazione dei lavoratori e dei loro rappresentanti” ai sensi dell’art. 37 D.Lgs. n. 81/08:</w:t>
      </w:r>
    </w:p>
    <w:p>
      <w:pPr>
        <w:pStyle w:val="Normal"/>
        <w:numPr>
          <w:ilvl w:val="1"/>
          <w:numId w:val="7"/>
        </w:numPr>
        <w:tabs>
          <w:tab w:val="clear" w:pos="708"/>
          <w:tab w:val="left" w:pos="709" w:leader="none"/>
        </w:tabs>
        <w:spacing w:lineRule="auto" w:line="240" w:before="0" w:after="0"/>
        <w:ind w:left="1276" w:hanging="425"/>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formazione generale;</w:t>
      </w:r>
    </w:p>
    <w:p>
      <w:pPr>
        <w:pStyle w:val="Normal"/>
        <w:numPr>
          <w:ilvl w:val="1"/>
          <w:numId w:val="7"/>
        </w:numPr>
        <w:tabs>
          <w:tab w:val="clear" w:pos="708"/>
          <w:tab w:val="left" w:pos="709" w:leader="none"/>
        </w:tabs>
        <w:spacing w:lineRule="auto" w:line="240" w:before="0" w:after="0"/>
        <w:ind w:left="1276" w:hanging="425"/>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formazione specifica.</w:t>
      </w:r>
    </w:p>
    <w:p>
      <w:pPr>
        <w:pStyle w:val="Normal"/>
        <w:numPr>
          <w:ilvl w:val="0"/>
          <w:numId w:val="7"/>
        </w:numPr>
        <w:tabs>
          <w:tab w:val="clear" w:pos="708"/>
          <w:tab w:val="left" w:pos="709" w:leader="none"/>
        </w:tabs>
        <w:spacing w:lineRule="auto" w:line="240" w:before="0" w:after="0"/>
        <w:ind w:left="851" w:hanging="425"/>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w:t>
      </w:r>
      <w:r>
        <w:rPr>
          <w:rFonts w:eastAsia="Times New Roman" w:cs="Times New Roman" w:ascii="Garamond" w:hAnsi="Garamond"/>
          <w:color w:val="000000"/>
          <w:sz w:val="24"/>
          <w:szCs w:val="24"/>
          <w:lang w:eastAsia="it-IT"/>
        </w:rPr>
        <w:t>Sorveglianza sanitaria” ai sensi dell’art. 41 D. Lgs. n. 81/08, se prevista;</w:t>
      </w:r>
    </w:p>
    <w:p>
      <w:pPr>
        <w:pStyle w:val="Normal"/>
        <w:numPr>
          <w:ilvl w:val="0"/>
          <w:numId w:val="7"/>
        </w:numPr>
        <w:tabs>
          <w:tab w:val="clear" w:pos="708"/>
          <w:tab w:val="left" w:pos="709" w:leader="none"/>
        </w:tabs>
        <w:spacing w:lineRule="auto" w:line="240" w:before="0" w:after="0"/>
        <w:ind w:left="851" w:hanging="425"/>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w:t>
      </w:r>
      <w:r>
        <w:rPr>
          <w:rFonts w:eastAsia="Times New Roman" w:cs="Times New Roman" w:ascii="Garamond" w:hAnsi="Garamond"/>
          <w:color w:val="000000"/>
          <w:sz w:val="24"/>
          <w:szCs w:val="24"/>
          <w:lang w:eastAsia="it-IT"/>
        </w:rPr>
        <w:t xml:space="preserve">Informazione ai lavoratori” ai sensi dell’art. 36 D. Lgs. n. 81/08 riguardo a: </w:t>
      </w:r>
    </w:p>
    <w:p>
      <w:pPr>
        <w:pStyle w:val="Normal"/>
        <w:numPr>
          <w:ilvl w:val="1"/>
          <w:numId w:val="7"/>
        </w:numPr>
        <w:tabs>
          <w:tab w:val="clear" w:pos="708"/>
          <w:tab w:val="left" w:pos="709" w:leader="none"/>
        </w:tabs>
        <w:spacing w:lineRule="auto" w:line="240" w:before="0" w:after="0"/>
        <w:ind w:left="1276" w:hanging="425"/>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organizzazione del SPP aziendale compreso l'affidamento dei compiti speciali (primo soccorso e antincendio) a lavoratori interni all'azienda;</w:t>
      </w:r>
    </w:p>
    <w:p>
      <w:pPr>
        <w:pStyle w:val="Normal"/>
        <w:numPr>
          <w:ilvl w:val="1"/>
          <w:numId w:val="7"/>
        </w:numPr>
        <w:tabs>
          <w:tab w:val="clear" w:pos="708"/>
          <w:tab w:val="left" w:pos="709" w:leader="none"/>
        </w:tabs>
        <w:spacing w:lineRule="auto" w:line="240" w:before="0" w:after="0"/>
        <w:ind w:left="1276" w:hanging="425"/>
        <w:jc w:val="both"/>
        <w:rPr>
          <w:rFonts w:ascii="Garamond" w:hAnsi="Garamond" w:eastAsia="Times New Roman" w:cs="Times New Roman"/>
          <w:color w:val="000000"/>
          <w:sz w:val="24"/>
          <w:szCs w:val="24"/>
          <w:lang w:eastAsia="it-IT"/>
        </w:rPr>
      </w:pPr>
      <w:bookmarkStart w:id="4" w:name="_Hlk510009753"/>
      <w:r>
        <w:rPr>
          <w:rFonts w:eastAsia="Times New Roman" w:cs="Times New Roman" w:ascii="Garamond" w:hAnsi="Garamond"/>
          <w:color w:val="000000"/>
          <w:sz w:val="24"/>
          <w:szCs w:val="24"/>
          <w:lang w:eastAsia="it-IT"/>
        </w:rPr>
        <w:t>rischio intrinseco aziendale.</w:t>
      </w:r>
      <w:bookmarkEnd w:id="4"/>
    </w:p>
    <w:p>
      <w:pPr>
        <w:pStyle w:val="Normal"/>
        <w:tabs>
          <w:tab w:val="clear" w:pos="708"/>
          <w:tab w:val="left" w:pos="8931" w:leader="none"/>
        </w:tabs>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tabs>
          <w:tab w:val="clear" w:pos="708"/>
          <w:tab w:val="left" w:pos="8931" w:leader="none"/>
        </w:tabs>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t>ARTICOLO 8</w:t>
      </w:r>
    </w:p>
    <w:p>
      <w:pPr>
        <w:pStyle w:val="Normal"/>
        <w:tabs>
          <w:tab w:val="clear" w:pos="708"/>
          <w:tab w:val="left" w:pos="8931" w:leader="none"/>
        </w:tabs>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t>Durata della Convenzione</w:t>
      </w:r>
    </w:p>
    <w:p>
      <w:pPr>
        <w:pStyle w:val="ListParagraph"/>
        <w:numPr>
          <w:ilvl w:val="0"/>
          <w:numId w:val="11"/>
        </w:numPr>
        <w:tabs>
          <w:tab w:val="clear" w:pos="708"/>
          <w:tab w:val="left" w:pos="284" w:leader="none"/>
        </w:tabs>
        <w:spacing w:lineRule="auto" w:line="240" w:before="0" w:after="0"/>
        <w:ind w:left="284" w:hanging="284"/>
        <w:contextualSpacing/>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 xml:space="preserve">La presente Convenzione ha validità dalla data di sottoscrizione </w:t>
      </w:r>
      <w:r>
        <w:rPr>
          <w:rFonts w:eastAsia="Times New Roman" w:cs="Times New Roman" w:ascii="Garamond" w:hAnsi="Garamond"/>
          <w:color w:val="000000"/>
          <w:sz w:val="24"/>
          <w:szCs w:val="24"/>
          <w:shd w:fill="auto" w:val="clear"/>
          <w:lang w:eastAsia="it-IT"/>
        </w:rPr>
        <w:t xml:space="preserve">(validità 5 anni) </w:t>
      </w:r>
      <w:r>
        <w:rPr>
          <w:rFonts w:eastAsia="Times New Roman" w:cs="Times New Roman" w:ascii="Garamond" w:hAnsi="Garamond"/>
          <w:color w:val="000000"/>
          <w:sz w:val="24"/>
          <w:szCs w:val="24"/>
          <w:lang w:eastAsia="it-IT"/>
        </w:rPr>
        <w:t>e si applicherà ad ogni tirocinio che avrà avuto inizio nell’arco temporale di vigenza, fino alla conclusione di questo, comprese le eventuali sospensioni e proroghe.</w:t>
      </w:r>
    </w:p>
    <w:p>
      <w:pPr>
        <w:pStyle w:val="Normal"/>
        <w:tabs>
          <w:tab w:val="clear" w:pos="708"/>
          <w:tab w:val="left" w:pos="8931" w:leader="none"/>
        </w:tabs>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r>
    </w:p>
    <w:p>
      <w:pPr>
        <w:pStyle w:val="Normal"/>
        <w:tabs>
          <w:tab w:val="clear" w:pos="708"/>
          <w:tab w:val="left" w:pos="8931" w:leader="none"/>
        </w:tabs>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t>ARTICOLO 9</w:t>
      </w:r>
    </w:p>
    <w:p>
      <w:pPr>
        <w:pStyle w:val="Normal"/>
        <w:tabs>
          <w:tab w:val="clear" w:pos="708"/>
          <w:tab w:val="left" w:pos="8931" w:leader="none"/>
        </w:tabs>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t>Sospensione e recesso anticipato del tirocinio</w:t>
      </w:r>
    </w:p>
    <w:p>
      <w:pPr>
        <w:pStyle w:val="ListParagraph"/>
        <w:numPr>
          <w:ilvl w:val="0"/>
          <w:numId w:val="12"/>
        </w:numPr>
        <w:spacing w:lineRule="auto" w:line="240" w:before="0" w:after="0"/>
        <w:ind w:left="284" w:hanging="284"/>
        <w:contextualSpacing/>
        <w:jc w:val="both"/>
        <w:rPr>
          <w:rFonts w:ascii="Garamond" w:hAnsi="Garamond" w:cs="Times New Roman"/>
          <w:sz w:val="24"/>
          <w:szCs w:val="24"/>
        </w:rPr>
      </w:pPr>
      <w:r>
        <w:rPr>
          <w:rFonts w:cs="Times New Roman" w:ascii="Garamond" w:hAnsi="Garamond"/>
          <w:sz w:val="24"/>
          <w:szCs w:val="24"/>
        </w:rPr>
        <w:t xml:space="preserve">Il tirocinante ha diritto ad una sospensione del tirocinio per congedi di maternità e paternità obbligatoria ai sensi della normativa in vigore. Tale diritto si prevede anche in caso di infortunio o malattia di lunga durata, intendendosi per tali, quelli che si protraggono per una durata pari o superiore a 30 giorni solari per singolo evento. </w:t>
      </w:r>
    </w:p>
    <w:p>
      <w:pPr>
        <w:pStyle w:val="ListParagraph"/>
        <w:numPr>
          <w:ilvl w:val="0"/>
          <w:numId w:val="12"/>
        </w:numPr>
        <w:spacing w:lineRule="auto" w:line="240" w:before="0" w:after="0"/>
        <w:ind w:left="284" w:hanging="284"/>
        <w:contextualSpacing/>
        <w:jc w:val="both"/>
        <w:rPr>
          <w:rFonts w:ascii="Garamond" w:hAnsi="Garamond" w:cs="Times New Roman"/>
          <w:sz w:val="24"/>
          <w:szCs w:val="24"/>
        </w:rPr>
      </w:pPr>
      <w:r>
        <w:rPr>
          <w:rFonts w:cs="Times New Roman" w:ascii="Garamond" w:hAnsi="Garamond"/>
          <w:sz w:val="24"/>
          <w:szCs w:val="24"/>
        </w:rPr>
        <w:t>Il tirocinio può, inoltre, essere sospeso per periodi di chiusura aziendale della durata di almeno 15 giorni solari consecutivi. Il periodo di sospensione non concorre al computo della durata complessiva del tirocinio.</w:t>
      </w:r>
    </w:p>
    <w:p>
      <w:pPr>
        <w:pStyle w:val="ListParagraph"/>
        <w:numPr>
          <w:ilvl w:val="0"/>
          <w:numId w:val="12"/>
        </w:numPr>
        <w:spacing w:lineRule="auto" w:line="240" w:before="0" w:after="0"/>
        <w:ind w:left="284" w:hanging="284"/>
        <w:contextualSpacing/>
        <w:jc w:val="both"/>
        <w:rPr>
          <w:rFonts w:ascii="Garamond" w:hAnsi="Garamond" w:cs="Times New Roman"/>
          <w:sz w:val="24"/>
          <w:szCs w:val="24"/>
        </w:rPr>
      </w:pPr>
      <w:r>
        <w:rPr>
          <w:rFonts w:cs="Times New Roman" w:ascii="Garamond" w:hAnsi="Garamond"/>
          <w:sz w:val="24"/>
          <w:szCs w:val="24"/>
        </w:rPr>
        <w:t>Il tirocinio può essere interrotto dal tirocinante, il quale è tenuto a darne motivata comunicazione scritta al tutor del soggetto ospitante e al tutor del soggetto promotore.</w:t>
      </w:r>
    </w:p>
    <w:p>
      <w:pPr>
        <w:pStyle w:val="ListParagraph"/>
        <w:numPr>
          <w:ilvl w:val="0"/>
          <w:numId w:val="12"/>
        </w:numPr>
        <w:spacing w:lineRule="auto" w:line="240" w:before="0" w:after="0"/>
        <w:ind w:left="284" w:hanging="284"/>
        <w:contextualSpacing/>
        <w:jc w:val="both"/>
        <w:rPr>
          <w:rFonts w:ascii="Garamond" w:hAnsi="Garamond" w:cs="Times New Roman"/>
          <w:sz w:val="24"/>
          <w:szCs w:val="24"/>
        </w:rPr>
      </w:pPr>
      <w:r>
        <w:rPr>
          <w:rFonts w:cs="Times New Roman" w:ascii="Garamond" w:hAnsi="Garamond"/>
          <w:sz w:val="24"/>
          <w:szCs w:val="24"/>
        </w:rPr>
        <w:t>Il tirocinio può essere interrotto dal soggetto ospitante o dal soggetto promotore in caso di gravi inadempienze da parte di uno dei soggetti coinvolti o in caso di impossibilità a conseguire gli obiettivi formativi del Progetto Formativo Individuale; le motivazioni a sostegno dell’interruzione devono risultare da apposita relazione.</w:t>
      </w:r>
    </w:p>
    <w:p>
      <w:pPr>
        <w:pStyle w:val="Normal"/>
        <w:spacing w:lineRule="auto" w:line="240" w:before="0" w:after="0"/>
        <w:jc w:val="both"/>
        <w:rPr>
          <w:rFonts w:ascii="Garamond" w:hAnsi="Garamond" w:cs="Times New Roman"/>
          <w:sz w:val="24"/>
          <w:szCs w:val="24"/>
        </w:rPr>
      </w:pPr>
      <w:r>
        <w:rPr>
          <w:rFonts w:cs="Times New Roman" w:ascii="Garamond" w:hAnsi="Garamond"/>
          <w:sz w:val="24"/>
          <w:szCs w:val="24"/>
        </w:rPr>
      </w:r>
    </w:p>
    <w:p>
      <w:pPr>
        <w:pStyle w:val="Normal"/>
        <w:spacing w:lineRule="auto" w:line="240" w:before="0" w:after="0"/>
        <w:jc w:val="center"/>
        <w:rPr>
          <w:rFonts w:ascii="Garamond" w:hAnsi="Garamond" w:cs="Times New Roman"/>
          <w:b/>
          <w:sz w:val="24"/>
          <w:szCs w:val="24"/>
        </w:rPr>
      </w:pPr>
      <w:r>
        <w:rPr>
          <w:rFonts w:cs="Times New Roman" w:ascii="Garamond" w:hAnsi="Garamond"/>
          <w:b/>
          <w:sz w:val="24"/>
          <w:szCs w:val="24"/>
        </w:rPr>
        <w:t>ARTICOLO 10</w:t>
      </w:r>
    </w:p>
    <w:p>
      <w:pPr>
        <w:pStyle w:val="Normal"/>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t>Registrazione e spese</w:t>
      </w:r>
    </w:p>
    <w:p>
      <w:pPr>
        <w:pStyle w:val="ListParagraph"/>
        <w:numPr>
          <w:ilvl w:val="0"/>
          <w:numId w:val="13"/>
        </w:numPr>
        <w:spacing w:lineRule="auto" w:line="240" w:before="0" w:after="0"/>
        <w:ind w:left="284" w:hanging="284"/>
        <w:contextualSpacing/>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La presente Convenzione è redatta in unico esemplare, che sarà detenuto dal soggetto promotore. L'imposta di bollo è assolta con oneri a carico del soggetto ospitante.</w:t>
      </w:r>
    </w:p>
    <w:p>
      <w:pPr>
        <w:pStyle w:val="ListParagraph"/>
        <w:numPr>
          <w:ilvl w:val="0"/>
          <w:numId w:val="13"/>
        </w:numPr>
        <w:spacing w:lineRule="auto" w:line="240" w:before="0" w:after="0"/>
        <w:ind w:left="284" w:hanging="284"/>
        <w:contextualSpacing/>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La presente Convenzione è soggetta a registrazione in caso d'uso, ai sensi dell'art. 4 tariffa parte II del D.P.R. 131/26.04.1986 con oneri a carico della parte richiedente.</w:t>
      </w:r>
    </w:p>
    <w:p>
      <w:pPr>
        <w:pStyle w:val="Normal"/>
        <w:spacing w:lineRule="auto" w:line="240" w:before="0" w:after="0"/>
        <w:jc w:val="center"/>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spacing w:lineRule="auto" w:line="240" w:before="0" w:after="0"/>
        <w:jc w:val="both"/>
        <w:rPr>
          <w:rFonts w:ascii="Garamond" w:hAnsi="Garamond" w:eastAsia="Times New Roman" w:cs="Times New Roman"/>
          <w:i/>
          <w:i/>
          <w:color w:val="000000"/>
          <w:sz w:val="24"/>
          <w:szCs w:val="24"/>
          <w:lang w:eastAsia="it-IT"/>
        </w:rPr>
      </w:pPr>
      <w:r>
        <w:rPr>
          <w:rFonts w:eastAsia="Times New Roman" w:cs="Times New Roman" w:ascii="Garamond" w:hAnsi="Garamond"/>
          <w:i/>
          <w:color w:val="000000"/>
          <w:sz w:val="24"/>
          <w:szCs w:val="24"/>
          <w:lang w:eastAsia="it-IT"/>
        </w:rPr>
        <w:t>Consapevoli delle sanzioni penali, nel caso di dichiarazioni mendaci, di formazione o uso di atti falsi, richiamate dall’art. 76 del D.P.R. 28/12/2000 n. 445 in materia di Documentazione Amministrativa, il soggetto promotore e il soggetto ospitante dichiarano, per quanto di competenza e sotto la propria responsabilità, il rispetto dei requisiti, dei vincoli e degli obblighi di cui alla D.G.R. n. 7763 del 17 gennaio 2018.</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t>(per l’Università degli Studi dell’Insubria)</w:t>
      </w:r>
      <w:bookmarkStart w:id="5" w:name="_GoBack"/>
      <w:bookmarkEnd w:id="5"/>
      <w:r>
        <w:rPr>
          <w:rFonts w:eastAsia="Times New Roman" w:cs="Times New Roman" w:ascii="Garamond" w:hAnsi="Garamond"/>
          <w:iCs/>
          <w:color w:val="000000"/>
          <w:sz w:val="24"/>
          <w:szCs w:val="24"/>
          <w:lang w:eastAsia="it-IT"/>
        </w:rPr>
        <w:t xml:space="preserve">                                             (per il soggetto ospitante)</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iCs/>
          <w:color w:val="000000"/>
          <w:sz w:val="24"/>
          <w:szCs w:val="24"/>
          <w:lang w:eastAsia="it-IT"/>
        </w:rPr>
        <w:t xml:space="preserve">                     </w:t>
      </w:r>
      <w:r>
        <w:rPr>
          <w:rFonts w:eastAsia="Times New Roman" w:cs="Times New Roman" w:ascii="Garamond" w:hAnsi="Garamond"/>
          <w:iCs/>
          <w:color w:val="000000"/>
          <w:sz w:val="24"/>
          <w:szCs w:val="24"/>
          <w:lang w:eastAsia="it-IT"/>
        </w:rPr>
        <w:t xml:space="preserve">IL </w:t>
      </w:r>
      <w:r>
        <w:rPr>
          <w:rFonts w:eastAsia="Times New Roman" w:cs="Times New Roman" w:ascii="Garamond" w:hAnsi="Garamond"/>
          <w:color w:val="000000"/>
          <w:sz w:val="24"/>
          <w:szCs w:val="24"/>
          <w:lang w:eastAsia="it-IT"/>
        </w:rPr>
        <w:t xml:space="preserve">DIRETTORE </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DEL DIPARTIMENTO DI SCIENZE UMANE</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iCs/>
          <w:color w:val="000000"/>
          <w:sz w:val="24"/>
          <w:szCs w:val="24"/>
          <w:lang w:eastAsia="it-IT"/>
        </w:rPr>
        <w:t>E PER L’INNOVAZIONE DEL TERRITORIO                         IL LEGALE RAPPRESENTANTE</w:t>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t xml:space="preserve">               </w:t>
      </w:r>
      <w:r>
        <w:rPr>
          <w:rFonts w:eastAsia="Times New Roman" w:cs="Times New Roman" w:ascii="Garamond" w:hAnsi="Garamond"/>
          <w:iCs/>
          <w:color w:val="000000"/>
          <w:sz w:val="24"/>
          <w:szCs w:val="24"/>
          <w:lang w:eastAsia="it-IT"/>
        </w:rPr>
        <w:t xml:space="preserve">(Prof.ssa Nicoletta Sabadini)                               </w:t>
        <w:tab/>
        <w:t xml:space="preserve">                    </w:t>
      </w:r>
      <w:r>
        <w:rPr>
          <w:rFonts w:eastAsia="Times New Roman" w:cs="Times New Roman" w:ascii="Garamond" w:hAnsi="Garamond"/>
          <w:iCs/>
          <w:color w:val="000000"/>
          <w:sz w:val="24"/>
          <w:szCs w:val="24"/>
          <w:shd w:fill="auto" w:val="clear"/>
          <w:lang w:eastAsia="it-IT"/>
        </w:rPr>
        <w:t xml:space="preserve"> (Nadia Cannito)     </w:t>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t xml:space="preserve"> </w:t>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t xml:space="preserve">Luogo e data, _______________________ </w:t>
        <w:tab/>
        <w:tab/>
        <w:t xml:space="preserve">                             Malnate, 2</w:t>
      </w:r>
      <w:r>
        <w:rPr>
          <w:rFonts w:eastAsia="Times New Roman" w:cs="Times New Roman" w:ascii="Garamond" w:hAnsi="Garamond"/>
          <w:iCs/>
          <w:color w:val="000000"/>
          <w:sz w:val="24"/>
          <w:szCs w:val="24"/>
          <w:lang w:eastAsia="it-IT"/>
        </w:rPr>
        <w:t>6</w:t>
      </w:r>
      <w:r>
        <w:rPr>
          <w:rFonts w:eastAsia="Times New Roman" w:cs="Times New Roman" w:ascii="Garamond" w:hAnsi="Garamond"/>
          <w:iCs/>
          <w:color w:val="000000"/>
          <w:sz w:val="24"/>
          <w:szCs w:val="24"/>
          <w:lang w:eastAsia="it-IT"/>
        </w:rPr>
        <w:t>/09/2024</w:t>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t>Firma ____________________________                         Firma _____________________________</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Corpodeltesto"/>
        <w:jc w:val="left"/>
        <w:rPr>
          <w:rFonts w:ascii="Garamond" w:hAnsi="Garamond"/>
          <w:b w:val="false"/>
          <w:bCs w:val="false"/>
        </w:rPr>
      </w:pPr>
      <w:r>
        <w:rPr>
          <w:rFonts w:ascii="Garamond" w:hAnsi="Garamond"/>
          <w:b w:val="false"/>
          <w:bCs w:val="false"/>
        </w:rPr>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r>
    </w:p>
    <w:p>
      <w:pPr>
        <w:pStyle w:val="Normal"/>
        <w:spacing w:lineRule="auto" w:line="240" w:before="0" w:after="0"/>
        <w:jc w:val="both"/>
        <w:rPr>
          <w:rFonts w:ascii="Garamond" w:hAnsi="Garamond" w:eastAsia="Times New Roman" w:cs="Times New Roman"/>
          <w:iCs/>
          <w:color w:val="000000"/>
          <w:sz w:val="24"/>
          <w:szCs w:val="24"/>
          <w:lang w:eastAsia="it-IT"/>
        </w:rPr>
      </w:pPr>
      <w:r>
        <w:rPr>
          <w:rFonts w:eastAsia="Times New Roman" w:cs="Times New Roman" w:ascii="Garamond" w:hAnsi="Garamond"/>
          <w:iCs/>
          <w:color w:val="000000"/>
          <w:sz w:val="24"/>
          <w:szCs w:val="24"/>
          <w:lang w:eastAsia="it-IT"/>
        </w:rPr>
      </w:r>
    </w:p>
    <w:p>
      <w:pPr>
        <w:pStyle w:val="Normal"/>
        <w:spacing w:lineRule="auto" w:line="240" w:before="0" w:after="0"/>
        <w:rPr>
          <w:rFonts w:ascii="Garamond" w:hAnsi="Garamond" w:eastAsia="Times New Roman" w:cs="Times New Roman"/>
          <w:b/>
          <w:iCs/>
          <w:color w:val="000000"/>
          <w:sz w:val="24"/>
          <w:szCs w:val="24"/>
          <w:lang w:eastAsia="it-IT"/>
        </w:rPr>
      </w:pPr>
      <w:r>
        <w:rPr>
          <w:rFonts w:eastAsia="Times New Roman" w:cs="Times New Roman" w:ascii="Garamond" w:hAnsi="Garamond"/>
          <w:b/>
          <w:iCs/>
          <w:color w:val="000000"/>
          <w:sz w:val="24"/>
          <w:szCs w:val="24"/>
          <w:u w:val="single"/>
          <w:lang w:eastAsia="it-IT"/>
        </w:rPr>
        <w:t xml:space="preserve">MODIFICHE ALL’ART. 10 </w:t>
      </w:r>
      <w:r>
        <w:rPr>
          <w:rFonts w:eastAsia="Times New Roman" w:cs="Times New Roman" w:ascii="Garamond" w:hAnsi="Garamond"/>
          <w:b/>
          <w:iCs/>
          <w:color w:val="000000"/>
          <w:sz w:val="24"/>
          <w:szCs w:val="24"/>
          <w:lang w:eastAsia="it-IT"/>
        </w:rPr>
        <w:t>(convenzioni da gestire in cartaceo, al di fuori della piattaforma, e caricare poi in piattaforma)</w:t>
      </w:r>
    </w:p>
    <w:p>
      <w:pPr>
        <w:pStyle w:val="Normal"/>
        <w:spacing w:lineRule="auto" w:line="240" w:before="0" w:after="0"/>
        <w:jc w:val="both"/>
        <w:rPr>
          <w:rFonts w:ascii="Garamond" w:hAnsi="Garamond" w:eastAsia="Times New Roman" w:cs="Times New Roman"/>
          <w:b/>
          <w:iCs/>
          <w:color w:val="000000"/>
          <w:sz w:val="24"/>
          <w:szCs w:val="24"/>
          <w:lang w:eastAsia="it-IT"/>
        </w:rPr>
      </w:pPr>
      <w:r>
        <w:rPr>
          <w:rFonts w:eastAsia="Times New Roman" w:cs="Times New Roman" w:ascii="Garamond" w:hAnsi="Garamond"/>
          <w:b/>
          <w:iCs/>
          <w:color w:val="000000"/>
          <w:sz w:val="24"/>
          <w:szCs w:val="24"/>
          <w:lang w:eastAsia="it-IT"/>
        </w:rPr>
      </w:r>
    </w:p>
    <w:p>
      <w:pPr>
        <w:pStyle w:val="Normal"/>
        <w:spacing w:lineRule="auto" w:line="240" w:before="0" w:after="0"/>
        <w:jc w:val="both"/>
        <w:rPr>
          <w:rFonts w:ascii="Garamond" w:hAnsi="Garamond" w:eastAsia="Times New Roman" w:cs="Times New Roman"/>
          <w:b/>
          <w:iCs/>
          <w:color w:val="000000"/>
          <w:sz w:val="24"/>
          <w:szCs w:val="24"/>
          <w:lang w:eastAsia="it-IT"/>
        </w:rPr>
      </w:pPr>
      <w:r>
        <w:rPr>
          <w:rFonts w:eastAsia="Times New Roman" w:cs="Times New Roman" w:ascii="Garamond" w:hAnsi="Garamond"/>
          <w:b/>
          <w:iCs/>
          <w:color w:val="000000"/>
          <w:sz w:val="24"/>
          <w:szCs w:val="24"/>
          <w:lang w:eastAsia="it-IT"/>
        </w:rPr>
        <w:t>1) Nel caso di convenzione stipulata con soggetto esonerato dal pagamento dell’imposta di bollo:</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spacing w:lineRule="auto" w:line="240" w:before="0" w:after="0"/>
        <w:jc w:val="center"/>
        <w:rPr>
          <w:rFonts w:ascii="Garamond" w:hAnsi="Garamond" w:eastAsia="Times New Roman" w:cs="Times New Roman"/>
          <w:b/>
          <w:bCs/>
          <w:color w:val="000000"/>
          <w:sz w:val="24"/>
          <w:szCs w:val="24"/>
          <w:lang w:eastAsia="it-IT"/>
        </w:rPr>
      </w:pPr>
      <w:r>
        <w:rPr>
          <w:rFonts w:eastAsia="Times New Roman" w:cs="Times New Roman" w:ascii="Garamond" w:hAnsi="Garamond"/>
          <w:b/>
          <w:bCs/>
          <w:color w:val="000000"/>
          <w:sz w:val="24"/>
          <w:szCs w:val="24"/>
          <w:lang w:eastAsia="it-IT"/>
        </w:rPr>
        <w:t>ARTICOLO 10</w:t>
      </w:r>
    </w:p>
    <w:p>
      <w:pPr>
        <w:pStyle w:val="Normal"/>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t>REGISTRAZIONE E SPESE</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 xml:space="preserve">1. La presente Convenzione è redatta in unico esemplare, che sarà detenuto dal soggetto promotore. L'imposta di bollo è assolta con oneri a carico del soggetto promotore. Il soggetto ospitante è esente in base alla Tabella all. B al D.P.R. 642/1972, art. ……. </w:t>
      </w:r>
      <w:r>
        <w:rPr>
          <w:rFonts w:eastAsia="Times New Roman" w:cs="Times New Roman" w:ascii="Garamond" w:hAnsi="Garamond"/>
          <w:b/>
          <w:i/>
          <w:color w:val="000000"/>
          <w:sz w:val="24"/>
          <w:szCs w:val="24"/>
          <w:lang w:eastAsia="it-IT"/>
        </w:rPr>
        <w:t>(inserire articolo di riferimento dell’esenzione fornito dalla controparte).</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2. La presente Convenzione è soggetta a registrazione in caso d'uso, ai sensi dell'art. 4 tariffa parte II del D.P.R. 131/26.04.1986 con oneri a carico della parte richiedente.</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spacing w:lineRule="auto" w:line="240" w:before="0" w:after="0"/>
        <w:jc w:val="both"/>
        <w:rPr>
          <w:rFonts w:ascii="Garamond" w:hAnsi="Garamond" w:eastAsia="Times New Roman" w:cs="Times New Roman"/>
          <w:b/>
          <w:iCs/>
          <w:color w:val="000000"/>
          <w:sz w:val="24"/>
          <w:szCs w:val="24"/>
          <w:lang w:eastAsia="it-IT"/>
        </w:rPr>
      </w:pPr>
      <w:r>
        <w:rPr>
          <w:rFonts w:eastAsia="Times New Roman" w:cs="Times New Roman" w:ascii="Garamond" w:hAnsi="Garamond"/>
          <w:b/>
          <w:iCs/>
          <w:color w:val="000000"/>
          <w:sz w:val="24"/>
          <w:szCs w:val="24"/>
          <w:lang w:eastAsia="it-IT"/>
        </w:rPr>
        <w:t>2) Nel caso di convenzione stipulata con ente pubblico (obbligo sottoscrizione digitale):</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spacing w:lineRule="auto" w:line="240" w:before="0" w:after="0"/>
        <w:jc w:val="center"/>
        <w:rPr>
          <w:rFonts w:ascii="Garamond" w:hAnsi="Garamond" w:eastAsia="Times New Roman" w:cs="Times New Roman"/>
          <w:b/>
          <w:bCs/>
          <w:color w:val="000000"/>
          <w:sz w:val="24"/>
          <w:szCs w:val="24"/>
          <w:lang w:eastAsia="it-IT"/>
        </w:rPr>
      </w:pPr>
      <w:r>
        <w:rPr>
          <w:rFonts w:eastAsia="Times New Roman" w:cs="Times New Roman" w:ascii="Garamond" w:hAnsi="Garamond"/>
          <w:b/>
          <w:bCs/>
          <w:color w:val="000000"/>
          <w:sz w:val="24"/>
          <w:szCs w:val="24"/>
          <w:lang w:eastAsia="it-IT"/>
        </w:rPr>
        <w:t>ARTICOLO 10</w:t>
      </w:r>
    </w:p>
    <w:p>
      <w:pPr>
        <w:pStyle w:val="Normal"/>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t>REGISTRAZIONE E SPESE</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 xml:space="preserve">1. La presente Convenzione è redatta in unico esemplare firmato digitalmente ai sensi del D.Lgs. 82/2005 e successive modifiche e integrazioni.  Il soggetto ospitante assolve all’imposta di bollo in modo virtuale per € 32,00 - ai sensi dell’art. 2, Tariffa Parte I e art. 15 del D.P.R. 642/1972 – Autorizzazione della Direzione Regionale per le Entrate della Lombardia prot. n. ……………………. del …………………………... </w:t>
      </w:r>
      <w:r>
        <w:rPr>
          <w:rFonts w:eastAsia="Times New Roman" w:cs="Times New Roman" w:ascii="Garamond" w:hAnsi="Garamond"/>
          <w:b/>
          <w:color w:val="000000"/>
          <w:sz w:val="24"/>
          <w:szCs w:val="24"/>
          <w:lang w:eastAsia="it-IT"/>
        </w:rPr>
        <w:t>oppure</w:t>
      </w:r>
      <w:r>
        <w:rPr>
          <w:rFonts w:eastAsia="Times New Roman" w:cs="Times New Roman" w:ascii="Garamond" w:hAnsi="Garamond"/>
          <w:color w:val="000000"/>
          <w:sz w:val="24"/>
          <w:szCs w:val="24"/>
          <w:lang w:eastAsia="it-IT"/>
        </w:rPr>
        <w:t xml:space="preserve"> con apposizione di contrassegno telematico su copia del documento conservato agli atti.</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2. La presente Convenzione è soggetta a registrazione in caso d’uso, ai sensi dell’art. 4 tariffa parte II del D.P.R. 131/1986 con oneri a carico della parte richiedente.</w:t>
      </w:r>
    </w:p>
    <w:p>
      <w:pPr>
        <w:pStyle w:val="Normal"/>
        <w:spacing w:lineRule="auto" w:line="240" w:before="0" w:after="0"/>
        <w:jc w:val="both"/>
        <w:rPr>
          <w:rFonts w:ascii="Garamond" w:hAnsi="Garamond" w:eastAsia="Times New Roman" w:cs="Times New Roman"/>
          <w:b/>
          <w:iCs/>
          <w:color w:val="000000"/>
          <w:sz w:val="24"/>
          <w:szCs w:val="24"/>
          <w:lang w:eastAsia="it-IT"/>
        </w:rPr>
      </w:pPr>
      <w:r>
        <w:rPr>
          <w:rFonts w:eastAsia="Times New Roman" w:cs="Times New Roman" w:ascii="Garamond" w:hAnsi="Garamond"/>
          <w:b/>
          <w:iCs/>
          <w:color w:val="000000"/>
          <w:sz w:val="24"/>
          <w:szCs w:val="24"/>
          <w:lang w:eastAsia="it-IT"/>
        </w:rPr>
      </w:r>
    </w:p>
    <w:p>
      <w:pPr>
        <w:pStyle w:val="Normal"/>
        <w:spacing w:lineRule="auto" w:line="240" w:before="0" w:after="0"/>
        <w:jc w:val="both"/>
        <w:rPr>
          <w:rFonts w:ascii="Garamond" w:hAnsi="Garamond" w:eastAsia="Times New Roman" w:cs="Times New Roman"/>
          <w:b/>
          <w:iCs/>
          <w:color w:val="000000"/>
          <w:sz w:val="24"/>
          <w:szCs w:val="24"/>
          <w:lang w:eastAsia="it-IT"/>
        </w:rPr>
      </w:pPr>
      <w:r>
        <w:rPr>
          <w:rFonts w:eastAsia="Times New Roman" w:cs="Times New Roman" w:ascii="Garamond" w:hAnsi="Garamond"/>
          <w:b/>
          <w:iCs/>
          <w:color w:val="000000"/>
          <w:sz w:val="24"/>
          <w:szCs w:val="24"/>
          <w:lang w:eastAsia="it-IT"/>
        </w:rPr>
        <w:t>------------------------------------------------------------------------------------------------------------------------</w:t>
      </w:r>
    </w:p>
    <w:p>
      <w:pPr>
        <w:pStyle w:val="Normal"/>
        <w:spacing w:lineRule="auto" w:line="240" w:before="0" w:after="0"/>
        <w:jc w:val="both"/>
        <w:rPr>
          <w:rFonts w:ascii="Garamond" w:hAnsi="Garamond" w:eastAsia="Times New Roman" w:cs="Times New Roman"/>
          <w:b/>
          <w:iCs/>
          <w:color w:val="000000"/>
          <w:sz w:val="24"/>
          <w:szCs w:val="24"/>
          <w:lang w:eastAsia="it-IT"/>
        </w:rPr>
      </w:pPr>
      <w:r>
        <w:rPr>
          <w:rFonts w:eastAsia="Times New Roman" w:cs="Times New Roman" w:ascii="Garamond" w:hAnsi="Garamond"/>
          <w:b/>
          <w:iCs/>
          <w:color w:val="000000"/>
          <w:sz w:val="24"/>
          <w:szCs w:val="24"/>
          <w:lang w:eastAsia="it-IT"/>
        </w:rPr>
      </w:r>
    </w:p>
    <w:p>
      <w:pPr>
        <w:pStyle w:val="Normal"/>
        <w:spacing w:lineRule="auto" w:line="240" w:before="0" w:after="0"/>
        <w:jc w:val="both"/>
        <w:rPr>
          <w:rFonts w:ascii="Garamond" w:hAnsi="Garamond" w:eastAsia="Times New Roman" w:cs="Times New Roman"/>
          <w:b/>
          <w:iCs/>
          <w:color w:val="000000"/>
          <w:sz w:val="24"/>
          <w:szCs w:val="24"/>
          <w:lang w:eastAsia="it-IT"/>
        </w:rPr>
      </w:pPr>
      <w:r>
        <w:rPr>
          <w:rFonts w:eastAsia="Times New Roman" w:cs="Times New Roman" w:ascii="Garamond" w:hAnsi="Garamond"/>
          <w:b/>
          <w:iCs/>
          <w:color w:val="000000"/>
          <w:sz w:val="24"/>
          <w:szCs w:val="24"/>
          <w:lang w:eastAsia="it-IT"/>
        </w:rPr>
        <w:t>3) Nel caso di convenzione stipulata con ente pubblico (obbligo sottoscrizione digitale) esonerato dal pagamento dell’imposta di bollo:</w:t>
      </w:r>
    </w:p>
    <w:p>
      <w:pPr>
        <w:pStyle w:val="Normal"/>
        <w:spacing w:lineRule="auto" w:line="240" w:before="0" w:after="0"/>
        <w:jc w:val="both"/>
        <w:rPr>
          <w:rFonts w:ascii="Garamond" w:hAnsi="Garamond" w:eastAsia="Times New Roman" w:cs="Times New Roman"/>
          <w:b/>
          <w:bCs/>
          <w:color w:val="000000"/>
          <w:sz w:val="24"/>
          <w:szCs w:val="24"/>
          <w:lang w:eastAsia="it-IT"/>
        </w:rPr>
      </w:pPr>
      <w:r>
        <w:rPr>
          <w:rFonts w:eastAsia="Times New Roman" w:cs="Times New Roman" w:ascii="Garamond" w:hAnsi="Garamond"/>
          <w:b/>
          <w:bCs/>
          <w:color w:val="000000"/>
          <w:sz w:val="24"/>
          <w:szCs w:val="24"/>
          <w:lang w:eastAsia="it-IT"/>
        </w:rPr>
      </w:r>
    </w:p>
    <w:p>
      <w:pPr>
        <w:pStyle w:val="Normal"/>
        <w:spacing w:lineRule="auto" w:line="240" w:before="0" w:after="0"/>
        <w:jc w:val="center"/>
        <w:rPr>
          <w:rFonts w:ascii="Garamond" w:hAnsi="Garamond" w:eastAsia="Times New Roman" w:cs="Times New Roman"/>
          <w:b/>
          <w:bCs/>
          <w:color w:val="000000"/>
          <w:sz w:val="24"/>
          <w:szCs w:val="24"/>
          <w:lang w:eastAsia="it-IT"/>
        </w:rPr>
      </w:pPr>
      <w:r>
        <w:rPr>
          <w:rFonts w:eastAsia="Times New Roman" w:cs="Times New Roman" w:ascii="Garamond" w:hAnsi="Garamond"/>
          <w:b/>
          <w:bCs/>
          <w:color w:val="000000"/>
          <w:sz w:val="24"/>
          <w:szCs w:val="24"/>
          <w:lang w:eastAsia="it-IT"/>
        </w:rPr>
        <w:t>ARTICOLO 10</w:t>
      </w:r>
    </w:p>
    <w:p>
      <w:pPr>
        <w:pStyle w:val="Normal"/>
        <w:spacing w:lineRule="auto" w:line="240" w:before="0" w:after="0"/>
        <w:jc w:val="center"/>
        <w:rPr>
          <w:rFonts w:ascii="Garamond" w:hAnsi="Garamond" w:eastAsia="Times New Roman" w:cs="Times New Roman"/>
          <w:b/>
          <w:color w:val="000000"/>
          <w:sz w:val="24"/>
          <w:szCs w:val="24"/>
          <w:lang w:eastAsia="it-IT"/>
        </w:rPr>
      </w:pPr>
      <w:r>
        <w:rPr>
          <w:rFonts w:eastAsia="Times New Roman" w:cs="Times New Roman" w:ascii="Garamond" w:hAnsi="Garamond"/>
          <w:b/>
          <w:color w:val="000000"/>
          <w:sz w:val="24"/>
          <w:szCs w:val="24"/>
          <w:lang w:eastAsia="it-IT"/>
        </w:rPr>
        <w:t>REGISTRAZIONE E SPESE</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 xml:space="preserve">1. La presente Convenzione è redatta in unico esemplare firmato digitalmente ai sensi del D.Lgs. 82/2005 e successive modifiche e integrazioni ed è soggetto all’imposta di bollo fin dall’origine ai sensi dell’art. 2, Tariffa Parte I del D.P.R. 642/1972, assolta in modo virtuale per € 32,00 dall’Università degli Studi dell’Insubria ai sensi dell’art. 15 del D.P.R. 642/1972 – Autorizzazione della Direzione Regionale per le Entrate della Lombardia prot. n. 2014/136508 del 9 dicembre 2014. Il soggetto ospitante è esente in base alla Tabella all. B al D.P.R. 642/1972, art. ……. </w:t>
      </w:r>
      <w:r>
        <w:rPr>
          <w:rFonts w:eastAsia="Times New Roman" w:cs="Times New Roman" w:ascii="Garamond" w:hAnsi="Garamond"/>
          <w:b/>
          <w:i/>
          <w:color w:val="000000"/>
          <w:sz w:val="24"/>
          <w:szCs w:val="24"/>
          <w:lang w:eastAsia="it-IT"/>
        </w:rPr>
        <w:t>(inserire articolo di riferimento dell’esenzione fornito dalla controparte)</w:t>
      </w:r>
      <w:r>
        <w:rPr>
          <w:rFonts w:eastAsia="Times New Roman" w:cs="Times New Roman" w:ascii="Garamond" w:hAnsi="Garamond"/>
          <w:color w:val="000000"/>
          <w:sz w:val="24"/>
          <w:szCs w:val="24"/>
          <w:lang w:eastAsia="it-IT"/>
        </w:rPr>
        <w:t>.</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2. La presente Convenzione è soggetta a registrazione in caso d’uso, ai sensi dell’art. 4 tariffa parte II del D.P.R. 131/1986 con oneri a carico della parte richiedente.</w:t>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r>
    </w:p>
    <w:p>
      <w:pPr>
        <w:pStyle w:val="Normal"/>
        <w:spacing w:lineRule="auto" w:line="240" w:before="0" w:after="0"/>
        <w:jc w:val="both"/>
        <w:rPr>
          <w:rFonts w:ascii="Garamond" w:hAnsi="Garamond" w:eastAsia="Times New Roman" w:cs="Times New Roman"/>
          <w:color w:val="000000"/>
          <w:sz w:val="24"/>
          <w:szCs w:val="24"/>
          <w:lang w:eastAsia="it-IT"/>
        </w:rPr>
      </w:pPr>
      <w:r>
        <w:rPr>
          <w:rFonts w:eastAsia="Times New Roman" w:cs="Times New Roman" w:ascii="Garamond" w:hAnsi="Garamond"/>
          <w:color w:val="000000"/>
          <w:sz w:val="24"/>
          <w:szCs w:val="24"/>
          <w:lang w:eastAsia="it-IT"/>
        </w:rPr>
        <w:t>------------------------------------------------------------------------------------------------------------------------</w:t>
      </w:r>
    </w:p>
    <w:p>
      <w:pPr>
        <w:pStyle w:val="Normal"/>
        <w:spacing w:lineRule="auto" w:line="240" w:before="0" w:after="0"/>
        <w:jc w:val="both"/>
        <w:rPr>
          <w:rFonts w:ascii="Garamond" w:hAnsi="Garamond" w:eastAsia="Times New Roman" w:cs="Times New Roman"/>
          <w:color w:val="000000"/>
          <w:sz w:val="24"/>
          <w:szCs w:val="24"/>
          <w:lang w:eastAsia="it-IT"/>
        </w:rPr>
      </w:pPr>
      <w:r>
        <w:rPr/>
      </w:r>
    </w:p>
    <w:sectPr>
      <w:footerReference w:type="default" r:id="rId3"/>
      <w:type w:val="nextPage"/>
      <w:pgSz w:w="11906" w:h="16838"/>
      <w:pgMar w:left="1134" w:right="1134" w:gutter="0" w:header="0" w:top="851" w:footer="709" w:bottom="993"/>
      <w:pgNumType w:start="1" w:fmt="decimal"/>
      <w:formProt w:val="false"/>
      <w:textDirection w:val="lrTb"/>
      <w:docGrid w:type="default" w:linePitch="360" w:charSpace="59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Segoe UI">
    <w:charset w:val="00"/>
    <w:family w:val="roman"/>
    <w:pitch w:val="variable"/>
  </w:font>
  <w:font w:name="Times">
    <w:altName w:val="Times New Roman"/>
    <w:charset w:val="00"/>
    <w:family w:val="roman"/>
    <w:pitch w:val="variable"/>
  </w:font>
  <w:font w:name="Liberation Sans">
    <w:altName w:val="Arial"/>
    <w:charset w:val="00"/>
    <w:family w:val="roman"/>
    <w:pitch w:val="variable"/>
  </w:font>
  <w:font w:name="Symbol">
    <w:charset w:val="00"/>
    <w:family w:val="roman"/>
    <w:pitch w:val="variable"/>
  </w:font>
  <w:font w:name="ITC Avant Garde Std Bk">
    <w:charset w:val="00"/>
    <w:family w:val="roman"/>
    <w:pitch w:val="variable"/>
  </w:font>
  <w:font w:name="Garamond">
    <w:charset w:val="00"/>
    <w:family w:val="roman"/>
    <w:pitch w:val="variable"/>
  </w:font>
  <w:font w:name="Cambria">
    <w:charset w:val="00"/>
    <w:family w:val="roman"/>
    <w:pitch w:val="variable"/>
  </w:font>
  <w:font w:name="Wingdings">
    <w:charset w:val="02"/>
    <w:family w:val="auto"/>
    <w:pitch w:val="variable"/>
  </w:font>
  <w:font w:name="Calibri">
    <w:charset w:val="01"/>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054985"/>
    </w:sdtPr>
    <w:sdtContent>
      <w:p>
        <w:pPr>
          <w:pStyle w:val="Pidipagina"/>
          <w:jc w:val="right"/>
          <w:rPr/>
        </w:pPr>
        <w:r>
          <w:rPr/>
          <w:fldChar w:fldCharType="begin"/>
        </w:r>
        <w:r>
          <w:rPr/>
          <w:instrText xml:space="preserve"> PAGE </w:instrText>
        </w:r>
        <w:r>
          <w:rPr/>
          <w:fldChar w:fldCharType="separate"/>
        </w:r>
        <w:r>
          <w:rPr/>
          <w:t>5</w:t>
        </w:r>
        <w:r>
          <w:rPr/>
          <w:fldChar w:fldCharType="end"/>
        </w:r>
      </w:p>
    </w:sdtContent>
  </w:sdt>
  <w:p>
    <w:pPr>
      <w:pStyle w:val="Pidipagina"/>
      <w:spacing w:before="0" w:after="16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i w:val="false"/>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1070" w:hanging="360"/>
      </w:pPr>
      <w:rPr/>
    </w:lvl>
    <w:lvl w:ilvl="1">
      <w:start w:val="1"/>
      <w:numFmt w:val="lowerLetter"/>
      <w:lvlText w:val="%2."/>
      <w:lvlJc w:val="left"/>
      <w:pPr>
        <w:tabs>
          <w:tab w:val="num" w:pos="0"/>
        </w:tabs>
        <w:ind w:left="1790" w:hanging="360"/>
      </w:pPr>
      <w:rPr/>
    </w:lvl>
    <w:lvl w:ilvl="2">
      <w:start w:val="1"/>
      <w:numFmt w:val="lowerRoman"/>
      <w:lvlText w:val="%3."/>
      <w:lvlJc w:val="right"/>
      <w:pPr>
        <w:tabs>
          <w:tab w:val="num" w:pos="0"/>
        </w:tabs>
        <w:ind w:left="2510" w:hanging="180"/>
      </w:pPr>
      <w:rPr/>
    </w:lvl>
    <w:lvl w:ilvl="3">
      <w:start w:val="1"/>
      <w:numFmt w:val="decimal"/>
      <w:lvlText w:val="%4."/>
      <w:lvlJc w:val="left"/>
      <w:pPr>
        <w:tabs>
          <w:tab w:val="num" w:pos="0"/>
        </w:tabs>
        <w:ind w:left="3230" w:hanging="360"/>
      </w:pPr>
      <w:rPr/>
    </w:lvl>
    <w:lvl w:ilvl="4">
      <w:start w:val="1"/>
      <w:numFmt w:val="lowerLetter"/>
      <w:lvlText w:val="%5."/>
      <w:lvlJc w:val="left"/>
      <w:pPr>
        <w:tabs>
          <w:tab w:val="num" w:pos="0"/>
        </w:tabs>
        <w:ind w:left="3950" w:hanging="360"/>
      </w:pPr>
      <w:rPr/>
    </w:lvl>
    <w:lvl w:ilvl="5">
      <w:start w:val="1"/>
      <w:numFmt w:val="lowerRoman"/>
      <w:lvlText w:val="%6."/>
      <w:lvlJc w:val="right"/>
      <w:pPr>
        <w:tabs>
          <w:tab w:val="num" w:pos="0"/>
        </w:tabs>
        <w:ind w:left="4670" w:hanging="180"/>
      </w:pPr>
      <w:rPr/>
    </w:lvl>
    <w:lvl w:ilvl="6">
      <w:start w:val="1"/>
      <w:numFmt w:val="decimal"/>
      <w:lvlText w:val="%7."/>
      <w:lvlJc w:val="left"/>
      <w:pPr>
        <w:tabs>
          <w:tab w:val="num" w:pos="0"/>
        </w:tabs>
        <w:ind w:left="5390" w:hanging="360"/>
      </w:pPr>
      <w:rPr/>
    </w:lvl>
    <w:lvl w:ilvl="7">
      <w:start w:val="1"/>
      <w:numFmt w:val="lowerLetter"/>
      <w:lvlText w:val="%8."/>
      <w:lvlJc w:val="left"/>
      <w:pPr>
        <w:tabs>
          <w:tab w:val="num" w:pos="0"/>
        </w:tabs>
        <w:ind w:left="6110" w:hanging="360"/>
      </w:pPr>
      <w:rPr/>
    </w:lvl>
    <w:lvl w:ilvl="8">
      <w:start w:val="1"/>
      <w:numFmt w:val="lowerRoman"/>
      <w:lvlText w:val="%9."/>
      <w:lvlJc w:val="right"/>
      <w:pPr>
        <w:tabs>
          <w:tab w:val="num" w:pos="0"/>
        </w:tabs>
        <w:ind w:left="6830" w:hanging="180"/>
      </w:pPr>
      <w:rPr/>
    </w:lvl>
  </w:abstractNum>
  <w:abstractNum w:abstractNumId="4">
    <w:lvl w:ilvl="0">
      <w:start w:val="1"/>
      <w:numFmt w:val="decimal"/>
      <w:lvlText w:val="%1."/>
      <w:lvlJc w:val="left"/>
      <w:pPr>
        <w:tabs>
          <w:tab w:val="num" w:pos="0"/>
        </w:tabs>
        <w:ind w:left="360" w:hanging="360"/>
      </w:pPr>
      <w:rPr/>
    </w:lvl>
    <w:lvl w:ilvl="1">
      <w:start w:val="1"/>
      <w:numFmt w:val="decimal"/>
      <w:lvlText w:val="%1.%2."/>
      <w:lvlJc w:val="left"/>
      <w:pPr>
        <w:tabs>
          <w:tab w:val="num" w:pos="0"/>
        </w:tabs>
        <w:ind w:left="716" w:hanging="432"/>
      </w:pPr>
      <w:rPr/>
    </w:lvl>
    <w:lvl w:ilvl="2">
      <w:start w:val="1"/>
      <w:numFmt w:val="bullet"/>
      <w:lvlText w:val=""/>
      <w:lvlJc w:val="left"/>
      <w:pPr>
        <w:tabs>
          <w:tab w:val="num" w:pos="0"/>
        </w:tabs>
        <w:ind w:left="1224" w:hanging="504"/>
      </w:pPr>
      <w:rPr>
        <w:rFonts w:ascii="Wingdings" w:hAnsi="Wingdings" w:cs="Wingdings" w:hint="default"/>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lowerLetter"/>
      <w:lvlText w:val="%1)"/>
      <w:lvlJc w:val="left"/>
      <w:pPr>
        <w:tabs>
          <w:tab w:val="num" w:pos="0"/>
        </w:tabs>
        <w:ind w:left="360" w:hanging="360"/>
      </w:pPr>
      <w:rPr/>
    </w:lvl>
    <w:lvl w:ilvl="1">
      <w:start w:val="0"/>
      <w:numFmt w:val="bullet"/>
      <w:lvlText w:val="-"/>
      <w:lvlJc w:val="left"/>
      <w:pPr>
        <w:tabs>
          <w:tab w:val="num" w:pos="0"/>
        </w:tabs>
        <w:ind w:left="1440" w:hanging="360"/>
      </w:pPr>
      <w:rPr>
        <w:rFonts w:ascii="Calibri" w:hAnsi="Calibri" w:cs="Calibri" w:hint="default"/>
        <w:rFonts w:eastAsiaTheme="minorHAnsi"/>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360" w:hanging="360"/>
      </w:pPr>
      <w:rPr/>
    </w:lvl>
    <w:lvl w:ilvl="1">
      <w:start w:val="1"/>
      <w:numFmt w:val="bullet"/>
      <w:lvlText w:val=""/>
      <w:lvlJc w:val="left"/>
      <w:pPr>
        <w:tabs>
          <w:tab w:val="num" w:pos="0"/>
        </w:tabs>
        <w:ind w:left="1080" w:hanging="360"/>
      </w:pPr>
      <w:rPr>
        <w:rFonts w:ascii="Wingdings" w:hAnsi="Wingdings" w:cs="Wingdings" w:hint="default"/>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9">
    <w:lvl w:ilvl="0">
      <w:numFmt w:val="bullet"/>
      <w:lvlText w:val="-"/>
      <w:lvlJc w:val="left"/>
      <w:pPr>
        <w:tabs>
          <w:tab w:val="num" w:pos="0"/>
        </w:tabs>
        <w:ind w:left="1004" w:hanging="360"/>
      </w:pPr>
      <w:rPr>
        <w:rFonts w:ascii="Calibri" w:hAnsi="Calibri" w:cs="Calibri" w:hint="default"/>
        <w:rFonts w:eastAsiaTheme="minorHAnsi"/>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1"/>
        <w:szCs w:val="21"/>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a050d"/>
    <w:pPr>
      <w:widowControl/>
      <w:suppressAutoHyphens w:val="true"/>
      <w:bidi w:val="0"/>
      <w:spacing w:lineRule="auto" w:line="312" w:before="0" w:after="160"/>
      <w:jc w:val="left"/>
    </w:pPr>
    <w:rPr>
      <w:rFonts w:ascii="Calibri" w:hAnsi="Calibri" w:eastAsia="" w:cs="" w:asciiTheme="minorHAnsi" w:cstheme="minorBidi" w:eastAsiaTheme="minorEastAsia" w:hAnsiTheme="minorHAnsi"/>
      <w:color w:val="auto"/>
      <w:kern w:val="0"/>
      <w:sz w:val="21"/>
      <w:szCs w:val="21"/>
      <w:lang w:val="it-IT" w:eastAsia="en-US" w:bidi="ar-SA"/>
    </w:rPr>
  </w:style>
  <w:style w:type="paragraph" w:styleId="Titolo1">
    <w:name w:val="Heading 1"/>
    <w:basedOn w:val="Normal"/>
    <w:next w:val="Normal"/>
    <w:link w:val="Titolo1Carattere"/>
    <w:uiPriority w:val="9"/>
    <w:qFormat/>
    <w:rsid w:val="005a050d"/>
    <w:pPr>
      <w:keepNext w:val="true"/>
      <w:keepLines/>
      <w:pBdr>
        <w:left w:val="single" w:sz="12" w:space="12" w:color="ED7D31"/>
      </w:pBdr>
      <w:spacing w:lineRule="auto" w:line="240" w:before="80" w:after="80"/>
      <w:outlineLvl w:val="0"/>
    </w:pPr>
    <w:rPr>
      <w:rFonts w:ascii="Calibri Light" w:hAnsi="Calibri Light" w:eastAsia="" w:cs="" w:asciiTheme="majorHAnsi" w:cstheme="majorBidi" w:eastAsiaTheme="majorEastAsia" w:hAnsiTheme="majorHAnsi"/>
      <w:caps/>
      <w:spacing w:val="10"/>
      <w:sz w:val="36"/>
      <w:szCs w:val="36"/>
    </w:rPr>
  </w:style>
  <w:style w:type="paragraph" w:styleId="Titolo2">
    <w:name w:val="Heading 2"/>
    <w:basedOn w:val="Normal"/>
    <w:next w:val="Normal"/>
    <w:link w:val="Titolo2Carattere"/>
    <w:uiPriority w:val="9"/>
    <w:semiHidden/>
    <w:unhideWhenUsed/>
    <w:qFormat/>
    <w:rsid w:val="005a050d"/>
    <w:pPr>
      <w:keepNext w:val="true"/>
      <w:keepLines/>
      <w:spacing w:lineRule="auto" w:line="240" w:before="120" w:after="0"/>
      <w:outlineLvl w:val="1"/>
    </w:pPr>
    <w:rPr>
      <w:rFonts w:ascii="Calibri Light" w:hAnsi="Calibri Light" w:eastAsia="" w:cs="" w:asciiTheme="majorHAnsi" w:cstheme="majorBidi" w:eastAsiaTheme="majorEastAsia" w:hAnsiTheme="majorHAnsi"/>
      <w:sz w:val="36"/>
      <w:szCs w:val="36"/>
    </w:rPr>
  </w:style>
  <w:style w:type="paragraph" w:styleId="Titolo3">
    <w:name w:val="Heading 3"/>
    <w:basedOn w:val="Normal"/>
    <w:next w:val="Normal"/>
    <w:link w:val="Titolo3Carattere"/>
    <w:uiPriority w:val="9"/>
    <w:semiHidden/>
    <w:unhideWhenUsed/>
    <w:qFormat/>
    <w:rsid w:val="005a050d"/>
    <w:pPr>
      <w:keepNext w:val="true"/>
      <w:keepLines/>
      <w:spacing w:lineRule="auto" w:line="240" w:before="80" w:after="0"/>
      <w:outlineLvl w:val="2"/>
    </w:pPr>
    <w:rPr>
      <w:rFonts w:ascii="Calibri Light" w:hAnsi="Calibri Light" w:eastAsia="" w:cs="" w:asciiTheme="majorHAnsi" w:cstheme="majorBidi" w:eastAsiaTheme="majorEastAsia" w:hAnsiTheme="majorHAnsi"/>
      <w:caps/>
      <w:sz w:val="28"/>
      <w:szCs w:val="28"/>
    </w:rPr>
  </w:style>
  <w:style w:type="paragraph" w:styleId="Titolo4">
    <w:name w:val="Heading 4"/>
    <w:basedOn w:val="Normal"/>
    <w:next w:val="Normal"/>
    <w:link w:val="Titolo4Carattere"/>
    <w:uiPriority w:val="9"/>
    <w:semiHidden/>
    <w:unhideWhenUsed/>
    <w:qFormat/>
    <w:rsid w:val="005a050d"/>
    <w:pPr>
      <w:keepNext w:val="true"/>
      <w:keepLines/>
      <w:spacing w:lineRule="auto" w:line="240" w:before="80" w:after="0"/>
      <w:outlineLvl w:val="3"/>
    </w:pPr>
    <w:rPr>
      <w:rFonts w:ascii="Calibri Light" w:hAnsi="Calibri Light" w:eastAsia="" w:cs="" w:asciiTheme="majorHAnsi" w:cstheme="majorBidi" w:eastAsiaTheme="majorEastAsia" w:hAnsiTheme="majorHAnsi"/>
      <w:i/>
      <w:iCs/>
      <w:sz w:val="28"/>
      <w:szCs w:val="28"/>
    </w:rPr>
  </w:style>
  <w:style w:type="paragraph" w:styleId="Titolo5">
    <w:name w:val="Heading 5"/>
    <w:basedOn w:val="Normal"/>
    <w:next w:val="Normal"/>
    <w:link w:val="Titolo5Carattere"/>
    <w:uiPriority w:val="9"/>
    <w:semiHidden/>
    <w:unhideWhenUsed/>
    <w:qFormat/>
    <w:rsid w:val="005a050d"/>
    <w:pPr>
      <w:keepNext w:val="true"/>
      <w:keepLines/>
      <w:spacing w:lineRule="auto" w:line="240" w:before="80" w:after="0"/>
      <w:outlineLvl w:val="4"/>
    </w:pPr>
    <w:rPr>
      <w:rFonts w:ascii="Calibri Light" w:hAnsi="Calibri Light" w:eastAsia="" w:cs="" w:asciiTheme="majorHAnsi" w:cstheme="majorBidi" w:eastAsiaTheme="majorEastAsia" w:hAnsiTheme="majorHAnsi"/>
      <w:sz w:val="24"/>
      <w:szCs w:val="24"/>
    </w:rPr>
  </w:style>
  <w:style w:type="paragraph" w:styleId="Titolo6">
    <w:name w:val="Heading 6"/>
    <w:basedOn w:val="Normal"/>
    <w:next w:val="Normal"/>
    <w:link w:val="Titolo6Carattere"/>
    <w:uiPriority w:val="9"/>
    <w:semiHidden/>
    <w:unhideWhenUsed/>
    <w:qFormat/>
    <w:rsid w:val="005a050d"/>
    <w:pPr>
      <w:keepNext w:val="true"/>
      <w:keepLines/>
      <w:spacing w:lineRule="auto" w:line="240" w:before="80" w:after="0"/>
      <w:outlineLvl w:val="5"/>
    </w:pPr>
    <w:rPr>
      <w:rFonts w:ascii="Calibri Light" w:hAnsi="Calibri Light" w:eastAsia="" w:cs="" w:asciiTheme="majorHAnsi" w:cstheme="majorBidi" w:eastAsiaTheme="majorEastAsia" w:hAnsiTheme="majorHAnsi"/>
      <w:i/>
      <w:iCs/>
      <w:sz w:val="24"/>
      <w:szCs w:val="24"/>
    </w:rPr>
  </w:style>
  <w:style w:type="paragraph" w:styleId="Titolo7">
    <w:name w:val="Heading 7"/>
    <w:basedOn w:val="Normal"/>
    <w:next w:val="Normal"/>
    <w:link w:val="Titolo7Carattere"/>
    <w:uiPriority w:val="9"/>
    <w:semiHidden/>
    <w:unhideWhenUsed/>
    <w:qFormat/>
    <w:rsid w:val="005a050d"/>
    <w:pPr>
      <w:keepNext w:val="true"/>
      <w:keepLines/>
      <w:spacing w:lineRule="auto" w:line="240" w:before="80" w:after="0"/>
      <w:outlineLvl w:val="6"/>
    </w:pPr>
    <w:rPr>
      <w:rFonts w:ascii="Calibri Light" w:hAnsi="Calibri Light" w:eastAsia="" w:cs="" w:asciiTheme="majorHAnsi" w:cstheme="majorBidi" w:eastAsiaTheme="majorEastAsia" w:hAnsiTheme="majorHAnsi"/>
      <w:color w:val="595959" w:themeColor="text1" w:themeTint="a6"/>
      <w:sz w:val="24"/>
      <w:szCs w:val="24"/>
    </w:rPr>
  </w:style>
  <w:style w:type="paragraph" w:styleId="Titolo8">
    <w:name w:val="Heading 8"/>
    <w:basedOn w:val="Normal"/>
    <w:next w:val="Normal"/>
    <w:link w:val="Titolo8Carattere"/>
    <w:uiPriority w:val="9"/>
    <w:semiHidden/>
    <w:unhideWhenUsed/>
    <w:qFormat/>
    <w:rsid w:val="005a050d"/>
    <w:pPr>
      <w:keepNext w:val="true"/>
      <w:keepLines/>
      <w:spacing w:lineRule="auto" w:line="240" w:before="80" w:after="0"/>
      <w:outlineLvl w:val="7"/>
    </w:pPr>
    <w:rPr>
      <w:rFonts w:ascii="Calibri Light" w:hAnsi="Calibri Light" w:eastAsia="" w:cs="" w:asciiTheme="majorHAnsi" w:cstheme="majorBidi" w:eastAsiaTheme="majorEastAsia" w:hAnsiTheme="majorHAnsi"/>
      <w:caps/>
    </w:rPr>
  </w:style>
  <w:style w:type="paragraph" w:styleId="Titolo9">
    <w:name w:val="Heading 9"/>
    <w:basedOn w:val="Normal"/>
    <w:next w:val="Normal"/>
    <w:link w:val="Titolo9Carattere"/>
    <w:uiPriority w:val="9"/>
    <w:semiHidden/>
    <w:unhideWhenUsed/>
    <w:qFormat/>
    <w:rsid w:val="005a050d"/>
    <w:pPr>
      <w:keepNext w:val="true"/>
      <w:keepLines/>
      <w:spacing w:lineRule="auto" w:line="240" w:before="80" w:after="0"/>
      <w:outlineLvl w:val="8"/>
    </w:pPr>
    <w:rPr>
      <w:rFonts w:ascii="Calibri Light" w:hAnsi="Calibri Light" w:eastAsia="" w:cs="" w:asciiTheme="majorHAnsi" w:cstheme="majorBidi" w:eastAsiaTheme="majorEastAsia" w:hAnsiTheme="majorHAnsi"/>
      <w:i/>
      <w:iCs/>
      <w:caps/>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82088c"/>
    <w:rPr/>
  </w:style>
  <w:style w:type="character" w:styleId="PidipaginaCarattere" w:customStyle="1">
    <w:name w:val="Piè di pagina Carattere"/>
    <w:basedOn w:val="DefaultParagraphFont"/>
    <w:uiPriority w:val="99"/>
    <w:qFormat/>
    <w:rsid w:val="0082088c"/>
    <w:rPr/>
  </w:style>
  <w:style w:type="character" w:styleId="Titolo1Carattere" w:customStyle="1">
    <w:name w:val="Titolo 1 Carattere"/>
    <w:basedOn w:val="DefaultParagraphFont"/>
    <w:uiPriority w:val="9"/>
    <w:qFormat/>
    <w:rsid w:val="005a050d"/>
    <w:rPr>
      <w:rFonts w:ascii="Calibri Light" w:hAnsi="Calibri Light" w:eastAsia="" w:cs="" w:asciiTheme="majorHAnsi" w:cstheme="majorBidi" w:eastAsiaTheme="majorEastAsia" w:hAnsiTheme="majorHAnsi"/>
      <w:caps/>
      <w:spacing w:val="10"/>
      <w:sz w:val="36"/>
      <w:szCs w:val="36"/>
    </w:rPr>
  </w:style>
  <w:style w:type="character" w:styleId="Titolo2Carattere" w:customStyle="1">
    <w:name w:val="Titolo 2 Carattere"/>
    <w:basedOn w:val="DefaultParagraphFont"/>
    <w:uiPriority w:val="9"/>
    <w:semiHidden/>
    <w:qFormat/>
    <w:rsid w:val="005a050d"/>
    <w:rPr>
      <w:rFonts w:ascii="Calibri Light" w:hAnsi="Calibri Light" w:eastAsia="" w:cs="" w:asciiTheme="majorHAnsi" w:cstheme="majorBidi" w:eastAsiaTheme="majorEastAsia" w:hAnsiTheme="majorHAnsi"/>
      <w:sz w:val="36"/>
      <w:szCs w:val="36"/>
    </w:rPr>
  </w:style>
  <w:style w:type="character" w:styleId="Titolo3Carattere" w:customStyle="1">
    <w:name w:val="Titolo 3 Carattere"/>
    <w:basedOn w:val="DefaultParagraphFont"/>
    <w:uiPriority w:val="9"/>
    <w:semiHidden/>
    <w:qFormat/>
    <w:rsid w:val="005a050d"/>
    <w:rPr>
      <w:rFonts w:ascii="Calibri Light" w:hAnsi="Calibri Light" w:eastAsia="" w:cs="" w:asciiTheme="majorHAnsi" w:cstheme="majorBidi" w:eastAsiaTheme="majorEastAsia" w:hAnsiTheme="majorHAnsi"/>
      <w:caps/>
      <w:sz w:val="28"/>
      <w:szCs w:val="28"/>
    </w:rPr>
  </w:style>
  <w:style w:type="character" w:styleId="Titolo4Carattere" w:customStyle="1">
    <w:name w:val="Titolo 4 Carattere"/>
    <w:basedOn w:val="DefaultParagraphFont"/>
    <w:uiPriority w:val="9"/>
    <w:semiHidden/>
    <w:qFormat/>
    <w:rsid w:val="005a050d"/>
    <w:rPr>
      <w:rFonts w:ascii="Calibri Light" w:hAnsi="Calibri Light" w:eastAsia="" w:cs="" w:asciiTheme="majorHAnsi" w:cstheme="majorBidi" w:eastAsiaTheme="majorEastAsia" w:hAnsiTheme="majorHAnsi"/>
      <w:i/>
      <w:iCs/>
      <w:sz w:val="28"/>
      <w:szCs w:val="28"/>
    </w:rPr>
  </w:style>
  <w:style w:type="character" w:styleId="Titolo5Carattere" w:customStyle="1">
    <w:name w:val="Titolo 5 Carattere"/>
    <w:basedOn w:val="DefaultParagraphFont"/>
    <w:uiPriority w:val="9"/>
    <w:semiHidden/>
    <w:qFormat/>
    <w:rsid w:val="005a050d"/>
    <w:rPr>
      <w:rFonts w:ascii="Calibri Light" w:hAnsi="Calibri Light" w:eastAsia="" w:cs="" w:asciiTheme="majorHAnsi" w:cstheme="majorBidi" w:eastAsiaTheme="majorEastAsia" w:hAnsiTheme="majorHAnsi"/>
      <w:sz w:val="24"/>
      <w:szCs w:val="24"/>
    </w:rPr>
  </w:style>
  <w:style w:type="character" w:styleId="Titolo6Carattere" w:customStyle="1">
    <w:name w:val="Titolo 6 Carattere"/>
    <w:basedOn w:val="DefaultParagraphFont"/>
    <w:uiPriority w:val="9"/>
    <w:semiHidden/>
    <w:qFormat/>
    <w:rsid w:val="005a050d"/>
    <w:rPr>
      <w:rFonts w:ascii="Calibri Light" w:hAnsi="Calibri Light" w:eastAsia="" w:cs="" w:asciiTheme="majorHAnsi" w:cstheme="majorBidi" w:eastAsiaTheme="majorEastAsia" w:hAnsiTheme="majorHAnsi"/>
      <w:i/>
      <w:iCs/>
      <w:sz w:val="24"/>
      <w:szCs w:val="24"/>
    </w:rPr>
  </w:style>
  <w:style w:type="character" w:styleId="Titolo7Carattere" w:customStyle="1">
    <w:name w:val="Titolo 7 Carattere"/>
    <w:basedOn w:val="DefaultParagraphFont"/>
    <w:uiPriority w:val="9"/>
    <w:semiHidden/>
    <w:qFormat/>
    <w:rsid w:val="005a050d"/>
    <w:rPr>
      <w:rFonts w:ascii="Calibri Light" w:hAnsi="Calibri Light" w:eastAsia="" w:cs="" w:asciiTheme="majorHAnsi" w:cstheme="majorBidi" w:eastAsiaTheme="majorEastAsia" w:hAnsiTheme="majorHAnsi"/>
      <w:color w:val="595959" w:themeColor="text1" w:themeTint="a6"/>
      <w:sz w:val="24"/>
      <w:szCs w:val="24"/>
    </w:rPr>
  </w:style>
  <w:style w:type="character" w:styleId="Titolo8Carattere" w:customStyle="1">
    <w:name w:val="Titolo 8 Carattere"/>
    <w:basedOn w:val="DefaultParagraphFont"/>
    <w:uiPriority w:val="9"/>
    <w:semiHidden/>
    <w:qFormat/>
    <w:rsid w:val="005a050d"/>
    <w:rPr>
      <w:rFonts w:ascii="Calibri Light" w:hAnsi="Calibri Light" w:eastAsia="" w:cs="" w:asciiTheme="majorHAnsi" w:cstheme="majorBidi" w:eastAsiaTheme="majorEastAsia" w:hAnsiTheme="majorHAnsi"/>
      <w:caps/>
    </w:rPr>
  </w:style>
  <w:style w:type="character" w:styleId="Titolo9Carattere" w:customStyle="1">
    <w:name w:val="Titolo 9 Carattere"/>
    <w:basedOn w:val="DefaultParagraphFont"/>
    <w:uiPriority w:val="9"/>
    <w:semiHidden/>
    <w:qFormat/>
    <w:rsid w:val="005a050d"/>
    <w:rPr>
      <w:rFonts w:ascii="Calibri Light" w:hAnsi="Calibri Light" w:eastAsia="" w:cs="" w:asciiTheme="majorHAnsi" w:cstheme="majorBidi" w:eastAsiaTheme="majorEastAsia" w:hAnsiTheme="majorHAnsi"/>
      <w:i/>
      <w:iCs/>
      <w:caps/>
    </w:rPr>
  </w:style>
  <w:style w:type="character" w:styleId="TitoloCarattere" w:customStyle="1">
    <w:name w:val="Titolo Carattere"/>
    <w:basedOn w:val="DefaultParagraphFont"/>
    <w:uiPriority w:val="10"/>
    <w:qFormat/>
    <w:rsid w:val="005a050d"/>
    <w:rPr>
      <w:rFonts w:ascii="Calibri Light" w:hAnsi="Calibri Light" w:eastAsia="" w:cs="" w:asciiTheme="majorHAnsi" w:cstheme="majorBidi" w:eastAsiaTheme="majorEastAsia" w:hAnsiTheme="majorHAnsi"/>
      <w:caps/>
      <w:spacing w:val="40"/>
      <w:sz w:val="76"/>
      <w:szCs w:val="76"/>
    </w:rPr>
  </w:style>
  <w:style w:type="character" w:styleId="SottotitoloCarattere" w:customStyle="1">
    <w:name w:val="Sottotitolo Carattere"/>
    <w:basedOn w:val="DefaultParagraphFont"/>
    <w:uiPriority w:val="11"/>
    <w:qFormat/>
    <w:rsid w:val="005a050d"/>
    <w:rPr>
      <w:color w:val="000000" w:themeColor="text1"/>
      <w:sz w:val="24"/>
      <w:szCs w:val="24"/>
    </w:rPr>
  </w:style>
  <w:style w:type="character" w:styleId="Strong">
    <w:name w:val="Strong"/>
    <w:basedOn w:val="DefaultParagraphFont"/>
    <w:uiPriority w:val="22"/>
    <w:qFormat/>
    <w:rsid w:val="005a050d"/>
    <w:rPr>
      <w:rFonts w:ascii="Calibri" w:hAnsi="Calibri" w:eastAsia="" w:cs="" w:asciiTheme="minorHAnsi" w:cstheme="minorBidi" w:eastAsiaTheme="minorEastAsia" w:hAnsiTheme="minorHAnsi"/>
      <w:b/>
      <w:bCs/>
      <w:spacing w:val="0"/>
      <w:w w:val="100"/>
      <w:sz w:val="20"/>
      <w:szCs w:val="20"/>
    </w:rPr>
  </w:style>
  <w:style w:type="character" w:styleId="Enfasi">
    <w:name w:val="Emphasis"/>
    <w:basedOn w:val="DefaultParagraphFont"/>
    <w:uiPriority w:val="20"/>
    <w:qFormat/>
    <w:rsid w:val="005a050d"/>
    <w:rPr>
      <w:rFonts w:ascii="Calibri" w:hAnsi="Calibri" w:eastAsia="" w:cs="" w:asciiTheme="minorHAnsi" w:cstheme="minorBidi" w:eastAsiaTheme="minorEastAsia" w:hAnsiTheme="minorHAnsi"/>
      <w:i/>
      <w:iCs/>
      <w:color w:val="C45911" w:themeColor="accent2" w:themeShade="bf"/>
      <w:sz w:val="20"/>
      <w:szCs w:val="20"/>
    </w:rPr>
  </w:style>
  <w:style w:type="character" w:styleId="CitazioneCarattere" w:customStyle="1">
    <w:name w:val="Citazione Carattere"/>
    <w:basedOn w:val="DefaultParagraphFont"/>
    <w:link w:val="Quote"/>
    <w:uiPriority w:val="29"/>
    <w:qFormat/>
    <w:rsid w:val="005a050d"/>
    <w:rPr>
      <w:rFonts w:ascii="Calibri Light" w:hAnsi="Calibri Light" w:eastAsia="" w:cs="" w:asciiTheme="majorHAnsi" w:cstheme="majorBidi" w:eastAsiaTheme="majorEastAsia" w:hAnsiTheme="majorHAnsi"/>
      <w:sz w:val="24"/>
      <w:szCs w:val="24"/>
    </w:rPr>
  </w:style>
  <w:style w:type="character" w:styleId="CitazioneintensaCarattere" w:customStyle="1">
    <w:name w:val="Citazione intensa Carattere"/>
    <w:basedOn w:val="DefaultParagraphFont"/>
    <w:link w:val="IntenseQuote"/>
    <w:uiPriority w:val="30"/>
    <w:qFormat/>
    <w:rsid w:val="005a050d"/>
    <w:rPr>
      <w:rFonts w:ascii="Calibri Light" w:hAnsi="Calibri Light" w:eastAsia="" w:cs="" w:asciiTheme="majorHAnsi" w:cstheme="majorBidi" w:eastAsiaTheme="majorEastAsia" w:hAnsiTheme="majorHAnsi"/>
      <w:caps/>
      <w:color w:val="C45911" w:themeColor="accent2" w:themeShade="bf"/>
      <w:spacing w:val="10"/>
      <w:sz w:val="28"/>
      <w:szCs w:val="28"/>
    </w:rPr>
  </w:style>
  <w:style w:type="character" w:styleId="SubtleEmphasis">
    <w:name w:val="Subtle Emphasis"/>
    <w:basedOn w:val="DefaultParagraphFont"/>
    <w:uiPriority w:val="19"/>
    <w:qFormat/>
    <w:rsid w:val="005a050d"/>
    <w:rPr>
      <w:i/>
      <w:iCs/>
      <w:color w:val="auto"/>
    </w:rPr>
  </w:style>
  <w:style w:type="character" w:styleId="IntenseEmphasis">
    <w:name w:val="Intense Emphasis"/>
    <w:basedOn w:val="DefaultParagraphFont"/>
    <w:uiPriority w:val="21"/>
    <w:qFormat/>
    <w:rsid w:val="005a050d"/>
    <w:rPr>
      <w:rFonts w:ascii="Calibri" w:hAnsi="Calibri" w:eastAsia="" w:cs="" w:asciiTheme="minorHAnsi" w:cstheme="minorBidi" w:eastAsiaTheme="minorEastAsia" w:hAnsiTheme="minorHAnsi"/>
      <w:b/>
      <w:bCs/>
      <w:i/>
      <w:iCs/>
      <w:color w:val="C45911" w:themeColor="accent2" w:themeShade="bf"/>
      <w:spacing w:val="0"/>
      <w:w w:val="100"/>
      <w:sz w:val="20"/>
      <w:szCs w:val="20"/>
    </w:rPr>
  </w:style>
  <w:style w:type="character" w:styleId="SubtleReference">
    <w:name w:val="Subtle Reference"/>
    <w:basedOn w:val="DefaultParagraphFont"/>
    <w:uiPriority w:val="31"/>
    <w:qFormat/>
    <w:rsid w:val="005a050d"/>
    <w:rPr>
      <w:rFonts w:ascii="Calibri" w:hAnsi="Calibri" w:eastAsia="" w:cs="" w:asciiTheme="minorHAnsi" w:cstheme="minorBidi" w:eastAsiaTheme="minorEastAsia" w:hAnsiTheme="minorHAnsi"/>
      <w:smallCaps/>
      <w:color w:val="auto"/>
      <w:spacing w:val="10"/>
      <w:w w:val="100"/>
      <w:sz w:val="20"/>
      <w:szCs w:val="20"/>
      <w:u w:val="single" w:color="7F7F7F"/>
    </w:rPr>
  </w:style>
  <w:style w:type="character" w:styleId="IntenseReference">
    <w:name w:val="Intense Reference"/>
    <w:basedOn w:val="DefaultParagraphFont"/>
    <w:uiPriority w:val="32"/>
    <w:qFormat/>
    <w:rsid w:val="005a050d"/>
    <w:rPr>
      <w:rFonts w:ascii="Calibri" w:hAnsi="Calibri" w:eastAsia="" w:cs="" w:asciiTheme="minorHAnsi" w:cstheme="minorBidi" w:eastAsiaTheme="minorEastAsia" w:hAnsiTheme="minorHAnsi"/>
      <w:b/>
      <w:bCs/>
      <w:smallCaps/>
      <w:color w:val="191919" w:themeColor="text1" w:themeTint="e6"/>
      <w:spacing w:val="10"/>
      <w:w w:val="100"/>
      <w:sz w:val="20"/>
      <w:szCs w:val="20"/>
      <w:u w:val="single"/>
    </w:rPr>
  </w:style>
  <w:style w:type="character" w:styleId="BookTitle">
    <w:name w:val="Book Title"/>
    <w:basedOn w:val="DefaultParagraphFont"/>
    <w:uiPriority w:val="33"/>
    <w:qFormat/>
    <w:rsid w:val="005a050d"/>
    <w:rPr>
      <w:rFonts w:ascii="Calibri" w:hAnsi="Calibri" w:eastAsia="" w:cs="" w:asciiTheme="minorHAnsi" w:cstheme="minorBidi" w:eastAsiaTheme="minorEastAsia" w:hAnsiTheme="minorHAnsi"/>
      <w:b/>
      <w:bCs/>
      <w:i/>
      <w:iCs/>
      <w:caps w:val="false"/>
      <w:smallCaps w:val="false"/>
      <w:color w:val="auto"/>
      <w:spacing w:val="10"/>
      <w:w w:val="100"/>
      <w:sz w:val="20"/>
      <w:szCs w:val="20"/>
    </w:rPr>
  </w:style>
  <w:style w:type="character" w:styleId="Annotationreference">
    <w:name w:val="annotation reference"/>
    <w:basedOn w:val="DefaultParagraphFont"/>
    <w:uiPriority w:val="99"/>
    <w:semiHidden/>
    <w:unhideWhenUsed/>
    <w:qFormat/>
    <w:rsid w:val="00cb6c0d"/>
    <w:rPr>
      <w:sz w:val="16"/>
      <w:szCs w:val="16"/>
    </w:rPr>
  </w:style>
  <w:style w:type="character" w:styleId="TestocommentoCarattere" w:customStyle="1">
    <w:name w:val="Testo commento Carattere"/>
    <w:basedOn w:val="DefaultParagraphFont"/>
    <w:link w:val="Annotationtext"/>
    <w:uiPriority w:val="99"/>
    <w:qFormat/>
    <w:rsid w:val="00cb6c0d"/>
    <w:rPr>
      <w:sz w:val="20"/>
      <w:szCs w:val="20"/>
    </w:rPr>
  </w:style>
  <w:style w:type="character" w:styleId="SoggettocommentoCarattere" w:customStyle="1">
    <w:name w:val="Soggetto commento Carattere"/>
    <w:basedOn w:val="TestocommentoCarattere"/>
    <w:link w:val="Annotationsubject"/>
    <w:uiPriority w:val="99"/>
    <w:semiHidden/>
    <w:qFormat/>
    <w:rsid w:val="00cb6c0d"/>
    <w:rPr>
      <w:b/>
      <w:bCs/>
      <w:sz w:val="20"/>
      <w:szCs w:val="20"/>
    </w:rPr>
  </w:style>
  <w:style w:type="character" w:styleId="TestofumettoCarattere" w:customStyle="1">
    <w:name w:val="Testo fumetto Carattere"/>
    <w:basedOn w:val="DefaultParagraphFont"/>
    <w:link w:val="BalloonText"/>
    <w:uiPriority w:val="99"/>
    <w:semiHidden/>
    <w:qFormat/>
    <w:rsid w:val="00cb6c0d"/>
    <w:rPr>
      <w:rFonts w:ascii="Segoe UI" w:hAnsi="Segoe UI" w:cs="Segoe UI"/>
      <w:sz w:val="18"/>
      <w:szCs w:val="18"/>
    </w:rPr>
  </w:style>
  <w:style w:type="character" w:styleId="CorpotestoCarattere" w:customStyle="1">
    <w:name w:val="Corpo testo Carattere"/>
    <w:basedOn w:val="DefaultParagraphFont"/>
    <w:qFormat/>
    <w:rsid w:val="00e275b6"/>
    <w:rPr>
      <w:rFonts w:ascii="Times" w:hAnsi="Times" w:eastAsia="Times New Roman" w:cs="Arial"/>
      <w:b/>
      <w:bCs/>
      <w:sz w:val="24"/>
      <w:szCs w:val="24"/>
      <w:lang w:eastAsia="it-IT"/>
    </w:rPr>
  </w:style>
  <w:style w:type="character" w:styleId="A6" w:customStyle="1">
    <w:name w:val="A6"/>
    <w:uiPriority w:val="99"/>
    <w:qFormat/>
    <w:rsid w:val="00ef649c"/>
    <w:rPr>
      <w:rFonts w:cs="ITC Avant Garde Std Bk"/>
      <w:color w:val="000000"/>
      <w:sz w:val="15"/>
      <w:szCs w:val="15"/>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testoCarattere"/>
    <w:unhideWhenUsed/>
    <w:rsid w:val="00e275b6"/>
    <w:pPr>
      <w:spacing w:lineRule="auto" w:line="240" w:before="0" w:after="0"/>
      <w:ind w:right="-82" w:hanging="0"/>
      <w:jc w:val="center"/>
    </w:pPr>
    <w:rPr>
      <w:rFonts w:ascii="Times" w:hAnsi="Times" w:eastAsia="Times New Roman" w:cs="Arial"/>
      <w:b/>
      <w:bCs/>
      <w:sz w:val="24"/>
      <w:szCs w:val="24"/>
      <w:lang w:eastAsia="it-IT"/>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Pa22" w:customStyle="1">
    <w:name w:val="Pa22"/>
    <w:basedOn w:val="Normal"/>
    <w:next w:val="Normal"/>
    <w:uiPriority w:val="99"/>
    <w:qFormat/>
    <w:rsid w:val="0082088c"/>
    <w:pPr>
      <w:spacing w:lineRule="atLeast" w:line="241" w:before="0" w:after="40"/>
    </w:pPr>
    <w:rPr>
      <w:rFonts w:ascii="Symbol" w:hAnsi="Symbol" w:eastAsia="Times New Roman" w:cs="Times New Roman"/>
      <w:sz w:val="24"/>
      <w:szCs w:val="24"/>
      <w:lang w:eastAsia="it-IT"/>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82088c"/>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82088c"/>
    <w:pPr>
      <w:tabs>
        <w:tab w:val="clear" w:pos="708"/>
        <w:tab w:val="center" w:pos="4819" w:leader="none"/>
        <w:tab w:val="right" w:pos="9638" w:leader="none"/>
      </w:tabs>
    </w:pPr>
    <w:rPr/>
  </w:style>
  <w:style w:type="paragraph" w:styleId="Caption">
    <w:name w:val="caption"/>
    <w:basedOn w:val="Normal"/>
    <w:next w:val="Normal"/>
    <w:uiPriority w:val="35"/>
    <w:semiHidden/>
    <w:unhideWhenUsed/>
    <w:qFormat/>
    <w:rsid w:val="005a050d"/>
    <w:pPr>
      <w:spacing w:lineRule="auto" w:line="240"/>
    </w:pPr>
    <w:rPr>
      <w:b/>
      <w:bCs/>
      <w:color w:val="ED7D31" w:themeColor="accent2"/>
      <w:spacing w:val="10"/>
      <w:sz w:val="16"/>
      <w:szCs w:val="16"/>
    </w:rPr>
  </w:style>
  <w:style w:type="paragraph" w:styleId="Titoloprincipale">
    <w:name w:val="Title"/>
    <w:basedOn w:val="Normal"/>
    <w:next w:val="Normal"/>
    <w:link w:val="TitoloCarattere"/>
    <w:uiPriority w:val="10"/>
    <w:qFormat/>
    <w:rsid w:val="005a050d"/>
    <w:pPr>
      <w:spacing w:lineRule="auto" w:line="240" w:before="0" w:after="0"/>
      <w:contextualSpacing/>
    </w:pPr>
    <w:rPr>
      <w:rFonts w:ascii="Calibri Light" w:hAnsi="Calibri Light" w:eastAsia="" w:cs="" w:asciiTheme="majorHAnsi" w:cstheme="majorBidi" w:eastAsiaTheme="majorEastAsia" w:hAnsiTheme="majorHAnsi"/>
      <w:caps/>
      <w:spacing w:val="40"/>
      <w:sz w:val="76"/>
      <w:szCs w:val="76"/>
    </w:rPr>
  </w:style>
  <w:style w:type="paragraph" w:styleId="Sottotitolo">
    <w:name w:val="Subtitle"/>
    <w:basedOn w:val="Normal"/>
    <w:next w:val="Normal"/>
    <w:link w:val="SottotitoloCarattere"/>
    <w:uiPriority w:val="11"/>
    <w:qFormat/>
    <w:rsid w:val="005a050d"/>
    <w:pPr>
      <w:spacing w:before="0" w:after="240"/>
    </w:pPr>
    <w:rPr>
      <w:color w:val="000000" w:themeColor="text1"/>
      <w:sz w:val="24"/>
      <w:szCs w:val="24"/>
    </w:rPr>
  </w:style>
  <w:style w:type="paragraph" w:styleId="NoSpacing">
    <w:name w:val="No Spacing"/>
    <w:uiPriority w:val="1"/>
    <w:qFormat/>
    <w:rsid w:val="005a050d"/>
    <w:pPr>
      <w:widowControl/>
      <w:suppressAutoHyphens w:val="true"/>
      <w:bidi w:val="0"/>
      <w:spacing w:lineRule="auto" w:line="240" w:before="0" w:after="0"/>
      <w:jc w:val="left"/>
    </w:pPr>
    <w:rPr>
      <w:rFonts w:ascii="Calibri" w:hAnsi="Calibri" w:eastAsia="" w:cs="" w:asciiTheme="minorHAnsi" w:cstheme="minorBidi" w:eastAsiaTheme="minorEastAsia" w:hAnsiTheme="minorHAnsi"/>
      <w:color w:val="auto"/>
      <w:kern w:val="0"/>
      <w:sz w:val="21"/>
      <w:szCs w:val="21"/>
      <w:lang w:val="it-IT" w:eastAsia="en-US" w:bidi="ar-SA"/>
    </w:rPr>
  </w:style>
  <w:style w:type="paragraph" w:styleId="Quote">
    <w:name w:val="Quote"/>
    <w:basedOn w:val="Normal"/>
    <w:next w:val="Normal"/>
    <w:link w:val="CitazioneCarattere"/>
    <w:uiPriority w:val="29"/>
    <w:qFormat/>
    <w:rsid w:val="005a050d"/>
    <w:pPr>
      <w:spacing w:before="160" w:after="160"/>
      <w:ind w:left="720" w:hanging="0"/>
    </w:pPr>
    <w:rPr>
      <w:rFonts w:ascii="Calibri Light" w:hAnsi="Calibri Light" w:eastAsia="" w:cs="" w:asciiTheme="majorHAnsi" w:cstheme="majorBidi" w:eastAsiaTheme="majorEastAsia" w:hAnsiTheme="majorHAnsi"/>
      <w:sz w:val="24"/>
      <w:szCs w:val="24"/>
    </w:rPr>
  </w:style>
  <w:style w:type="paragraph" w:styleId="IntenseQuote">
    <w:name w:val="Intense Quote"/>
    <w:basedOn w:val="Normal"/>
    <w:next w:val="Normal"/>
    <w:link w:val="CitazioneintensaCarattere"/>
    <w:uiPriority w:val="30"/>
    <w:qFormat/>
    <w:rsid w:val="005a050d"/>
    <w:pPr>
      <w:spacing w:beforeAutospacing="1" w:after="240"/>
      <w:ind w:left="936" w:right="936" w:hanging="0"/>
      <w:jc w:val="center"/>
    </w:pPr>
    <w:rPr>
      <w:rFonts w:ascii="Calibri Light" w:hAnsi="Calibri Light" w:eastAsia="" w:cs="" w:asciiTheme="majorHAnsi" w:cstheme="majorBidi" w:eastAsiaTheme="majorEastAsia" w:hAnsiTheme="majorHAnsi"/>
      <w:caps/>
      <w:color w:val="C45911" w:themeColor="accent2" w:themeShade="bf"/>
      <w:spacing w:val="10"/>
      <w:sz w:val="28"/>
      <w:szCs w:val="28"/>
    </w:rPr>
  </w:style>
  <w:style w:type="paragraph" w:styleId="Titoloindiceanalitico">
    <w:name w:val="Index Heading"/>
    <w:basedOn w:val="Titolo"/>
    <w:pPr/>
    <w:rPr/>
  </w:style>
  <w:style w:type="paragraph" w:styleId="Titoloindice">
    <w:name w:val="TOC Heading"/>
    <w:basedOn w:val="Titolo1"/>
    <w:next w:val="Normal"/>
    <w:uiPriority w:val="39"/>
    <w:semiHidden/>
    <w:unhideWhenUsed/>
    <w:qFormat/>
    <w:rsid w:val="005a050d"/>
    <w:pPr>
      <w:outlineLvl w:val="9"/>
    </w:pPr>
    <w:rPr/>
  </w:style>
  <w:style w:type="paragraph" w:styleId="ListParagraph">
    <w:name w:val="List Paragraph"/>
    <w:basedOn w:val="Normal"/>
    <w:uiPriority w:val="34"/>
    <w:qFormat/>
    <w:rsid w:val="00c47f1b"/>
    <w:pPr>
      <w:spacing w:before="0" w:after="160"/>
      <w:ind w:left="720" w:hanging="0"/>
      <w:contextualSpacing/>
    </w:pPr>
    <w:rPr/>
  </w:style>
  <w:style w:type="paragraph" w:styleId="Default" w:customStyle="1">
    <w:name w:val="Default"/>
    <w:qFormat/>
    <w:rsid w:val="004d1d4f"/>
    <w:pPr>
      <w:widowControl/>
      <w:suppressAutoHyphens w:val="true"/>
      <w:bidi w:val="0"/>
      <w:spacing w:lineRule="auto" w:line="240" w:before="0" w:after="0"/>
      <w:jc w:val="left"/>
    </w:pPr>
    <w:rPr>
      <w:rFonts w:ascii="Times New Roman" w:hAnsi="Times New Roman" w:eastAsia="" w:cs="Times New Roman"/>
      <w:color w:val="000000"/>
      <w:kern w:val="0"/>
      <w:sz w:val="24"/>
      <w:szCs w:val="24"/>
      <w:lang w:val="it-IT" w:eastAsia="en-US" w:bidi="ar-SA"/>
    </w:rPr>
  </w:style>
  <w:style w:type="paragraph" w:styleId="Annotationtext">
    <w:name w:val="annotation text"/>
    <w:basedOn w:val="Normal"/>
    <w:link w:val="TestocommentoCarattere"/>
    <w:uiPriority w:val="99"/>
    <w:unhideWhenUsed/>
    <w:qFormat/>
    <w:rsid w:val="00cb6c0d"/>
    <w:pPr>
      <w:spacing w:lineRule="auto" w:line="240"/>
    </w:pPr>
    <w:rPr>
      <w:sz w:val="20"/>
      <w:szCs w:val="20"/>
    </w:rPr>
  </w:style>
  <w:style w:type="paragraph" w:styleId="Annotationsubject">
    <w:name w:val="annotation subject"/>
    <w:basedOn w:val="Annotationtext"/>
    <w:next w:val="Annotationtext"/>
    <w:link w:val="SoggettocommentoCarattere"/>
    <w:uiPriority w:val="99"/>
    <w:semiHidden/>
    <w:unhideWhenUsed/>
    <w:qFormat/>
    <w:rsid w:val="00cb6c0d"/>
    <w:pPr/>
    <w:rPr>
      <w:b/>
      <w:bCs/>
    </w:rPr>
  </w:style>
  <w:style w:type="paragraph" w:styleId="BalloonText">
    <w:name w:val="Balloon Text"/>
    <w:basedOn w:val="Normal"/>
    <w:link w:val="TestofumettoCarattere"/>
    <w:uiPriority w:val="99"/>
    <w:semiHidden/>
    <w:unhideWhenUsed/>
    <w:qFormat/>
    <w:rsid w:val="00cb6c0d"/>
    <w:pPr>
      <w:spacing w:lineRule="auto" w:line="240" w:before="0" w:after="0"/>
    </w:pPr>
    <w:rPr>
      <w:rFonts w:ascii="Segoe UI" w:hAnsi="Segoe UI" w:cs="Segoe UI"/>
      <w:sz w:val="18"/>
      <w:szCs w:val="18"/>
    </w:rPr>
  </w:style>
  <w:style w:type="paragraph" w:styleId="Revision">
    <w:name w:val="Revision"/>
    <w:uiPriority w:val="99"/>
    <w:semiHidden/>
    <w:qFormat/>
    <w:rsid w:val="00cb6c0d"/>
    <w:pPr>
      <w:widowControl/>
      <w:suppressAutoHyphens w:val="true"/>
      <w:bidi w:val="0"/>
      <w:spacing w:lineRule="auto" w:line="240" w:before="0" w:after="0"/>
      <w:jc w:val="left"/>
    </w:pPr>
    <w:rPr>
      <w:rFonts w:ascii="Calibri" w:hAnsi="Calibri" w:eastAsia="" w:cs="" w:asciiTheme="minorHAnsi" w:cstheme="minorBidi" w:eastAsiaTheme="minorEastAsia" w:hAnsiTheme="minorHAnsi"/>
      <w:color w:val="auto"/>
      <w:kern w:val="0"/>
      <w:sz w:val="21"/>
      <w:szCs w:val="21"/>
      <w:lang w:val="it-IT" w:eastAsia="en-US" w:bidi="ar-SA"/>
    </w:rPr>
  </w:style>
  <w:style w:type="paragraph" w:styleId="Pa34" w:customStyle="1">
    <w:name w:val="Pa34"/>
    <w:basedOn w:val="Default"/>
    <w:next w:val="Default"/>
    <w:uiPriority w:val="99"/>
    <w:qFormat/>
    <w:rsid w:val="00ef649c"/>
    <w:pPr>
      <w:spacing w:lineRule="atLeast" w:line="221"/>
    </w:pPr>
    <w:rPr>
      <w:rFonts w:ascii="ITC Avant Garde Std Bk" w:hAnsi="ITC Avant Garde Std Bk" w:eastAsia="Calibri" w:cs="" w:cstheme="minorBidi" w:eastAsiaTheme="minorHAnsi"/>
      <w:color w:val="auto"/>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1a661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glossaryDocument" Target="glossary/document.xml"/><Relationship Id="rId9" Type="http://schemas.openxmlformats.org/officeDocument/2006/relationships/customXml" Target="../customXml/item1.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7C30F531504E26882EDC8E157F834D"/>
        <w:category>
          <w:name w:val="Generale"/>
          <w:gallery w:val="placeholder"/>
        </w:category>
        <w:types>
          <w:type w:val="bbPlcHdr"/>
        </w:types>
        <w:behaviors>
          <w:behavior w:val="content"/>
        </w:behaviors>
        <w:guid w:val="{8ECEABF3-FB17-4E07-A9E7-2768DF4131E0}"/>
      </w:docPartPr>
      <w:docPartBody>
        <w:p w:rsidR="00A61651" w:rsidRDefault="0035338A" w:rsidP="0035338A">
          <w:pPr>
            <w:pStyle w:val="847C30F531504E26882EDC8E157F834D"/>
          </w:pPr>
          <w:r w:rsidRPr="00683A15">
            <w:rPr>
              <w:rStyle w:val="A6"/>
              <w:i/>
              <w:iCs/>
            </w:rPr>
            <w:t xml:space="preserve">inserire nominativo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TC Avant Garde Std B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793"/>
    <w:rsid w:val="0035338A"/>
    <w:rsid w:val="00633793"/>
    <w:rsid w:val="00704B21"/>
    <w:rsid w:val="00750EFF"/>
    <w:rsid w:val="008A7C9D"/>
    <w:rsid w:val="00A61651"/>
    <w:rsid w:val="00D775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6">
    <w:name w:val="A6"/>
    <w:uiPriority w:val="99"/>
    <w:rsid w:val="0035338A"/>
    <w:rPr>
      <w:rFonts w:cs="ITC Avant Garde Std Bk"/>
      <w:color w:val="000000"/>
      <w:sz w:val="15"/>
      <w:szCs w:val="15"/>
    </w:rPr>
  </w:style>
  <w:style w:type="paragraph" w:customStyle="1" w:styleId="FC93DE6A040F4E93A8EC0BB0ABF54ACC">
    <w:name w:val="FC93DE6A040F4E93A8EC0BB0ABF54ACC"/>
    <w:rsid w:val="00633793"/>
  </w:style>
  <w:style w:type="paragraph" w:customStyle="1" w:styleId="D01CD2FFD6E24BA29E884E938BFFB3B5">
    <w:name w:val="D01CD2FFD6E24BA29E884E938BFFB3B5"/>
    <w:rsid w:val="00633793"/>
  </w:style>
  <w:style w:type="paragraph" w:customStyle="1" w:styleId="4C2781F29F3E40B28AD1FA4AE4AB180E">
    <w:name w:val="4C2781F29F3E40B28AD1FA4AE4AB180E"/>
    <w:rsid w:val="008A7C9D"/>
  </w:style>
  <w:style w:type="paragraph" w:customStyle="1" w:styleId="88897BFF79A947F58FF41B7B98746A0C">
    <w:name w:val="88897BFF79A947F58FF41B7B98746A0C"/>
    <w:rsid w:val="0035338A"/>
    <w:pPr>
      <w:spacing w:after="160" w:line="259" w:lineRule="auto"/>
    </w:pPr>
  </w:style>
  <w:style w:type="paragraph" w:customStyle="1" w:styleId="6AEBE2413A4A47348ED930E1DA9BE9C5">
    <w:name w:val="6AEBE2413A4A47348ED930E1DA9BE9C5"/>
    <w:rsid w:val="0035338A"/>
    <w:pPr>
      <w:spacing w:after="160" w:line="259" w:lineRule="auto"/>
    </w:pPr>
  </w:style>
  <w:style w:type="paragraph" w:customStyle="1" w:styleId="847C30F531504E26882EDC8E157F834D">
    <w:name w:val="847C30F531504E26882EDC8E157F834D"/>
    <w:rsid w:val="0035338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8F1D5-8F06-4AE4-BA0D-EFBE6DBEC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Application>LibreOffice/7.5.1.2$Windows_X86_64 LibreOffice_project/fcbaee479e84c6cd81291587d2ee68cba099e129</Application>
  <AppVersion>15.0000</AppVersion>
  <Pages>5</Pages>
  <Words>1927</Words>
  <Characters>11842</Characters>
  <CharactersWithSpaces>13940</CharactersWithSpaces>
  <Paragraphs>112</Paragraphs>
  <Company>Regione Lombardia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2023-03-06T09:30:00Z</dcterms:created>
  <dc:creator>Alessandro Corno</dc:creator>
  <dc:description/>
  <dc:language>it-IT</dc:language>
  <cp:lastModifiedBy/>
  <cp:lastPrinted>2024-09-24T11:36:21Z</cp:lastPrinted>
  <dcterms:modified xsi:type="dcterms:W3CDTF">2024-09-25T12:02:04Z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