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uppressAutoHyphens w:val="true"/>
        <w:spacing w:lineRule="auto" w:line="360" w:before="0" w:after="0"/>
        <w:jc w:val="both"/>
        <w:rPr>
          <w:rFonts w:ascii="Times New Roman" w:hAnsi="Times New Roman" w:eastAsia="SimSun" w:cs="Times New Roman"/>
          <w:b/>
          <w:bCs/>
          <w:color w:val="000000"/>
          <w:kern w:val="2"/>
          <w:sz w:val="24"/>
          <w:szCs w:val="24"/>
          <w14:ligatures w14:val="none"/>
        </w:rPr>
      </w:pPr>
      <w:r>
        <w:rPr>
          <w:rFonts w:eastAsia="SimSun" w:cs="Times New Roman" w:ascii="Times New Roman" w:hAnsi="Times New Roman"/>
          <w:b/>
          <w:bCs/>
          <w:color w:val="000000"/>
          <w:kern w:val="2"/>
          <w:sz w:val="24"/>
          <w:szCs w:val="24"/>
          <w14:ligatures w14:val="none"/>
        </w:rPr>
        <w:t>ACCORDO AI SENSI DELL’ARTICOLO 15 DELLA LEGGE N. 241/1990 E SS.MM.II. TRA LA PROVINCIA DI BRESCIA, IN QUALIT</w:t>
      </w:r>
      <w:r>
        <w:rPr>
          <w:rFonts w:eastAsia="SimSun" w:cs="Times New Roman" w:ascii="Times New Roman" w:hAnsi="Times New Roman"/>
          <w:b/>
          <w:bCs/>
          <w:color w:val="000000"/>
          <w:kern w:val="2"/>
          <w:sz w:val="24"/>
          <w:szCs w:val="24"/>
          <w14:ligatures w14:val="none"/>
        </w:rPr>
        <w:t>À</w:t>
      </w:r>
      <w:r>
        <w:rPr>
          <w:rFonts w:eastAsia="SimSun" w:cs="Times New Roman" w:ascii="Times New Roman" w:hAnsi="Times New Roman"/>
          <w:b/>
          <w:bCs/>
          <w:color w:val="000000"/>
          <w:kern w:val="2"/>
          <w:sz w:val="24"/>
          <w:szCs w:val="24"/>
          <w14:ligatures w14:val="none"/>
        </w:rPr>
        <w:t xml:space="preserve"> DI SEDE PRINCIPALE DELLA CENTRALE UNICA DI COMMITTENZA “AREA VASTA BRESCIA”, E IL COMUNE DI MALNATE (VA), FINALIZZATO ALL’ESPLETAMENTO DI UNA PROCEDURA DI GARA PER L’AFFIDAMENTO IN CONCESSIONE DELLA GESTIONE DELLA FARMACIA COMUNALE.</w:t>
      </w:r>
    </w:p>
    <w:p>
      <w:pPr>
        <w:pStyle w:val="Normal"/>
        <w:widowControl w:val="false"/>
        <w:suppressAutoHyphens w:val="true"/>
        <w:spacing w:lineRule="auto" w:line="360" w:before="0" w:after="0"/>
        <w:jc w:val="both"/>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r>
    </w:p>
    <w:p>
      <w:pPr>
        <w:pStyle w:val="Normal"/>
        <w:spacing w:lineRule="auto" w:line="360" w:before="0" w:after="0"/>
        <w:contextualSpacing/>
        <w:jc w:val="center"/>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t>TRA</w:t>
      </w:r>
    </w:p>
    <w:p>
      <w:pPr>
        <w:pStyle w:val="Normal"/>
        <w:spacing w:lineRule="auto" w:line="360" w:before="0" w:after="0"/>
        <w:contextualSpacing/>
        <w:jc w:val="center"/>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r>
    </w:p>
    <w:p>
      <w:pPr>
        <w:pStyle w:val="Normal"/>
        <w:widowControl w:val="false"/>
        <w:spacing w:lineRule="auto" w:line="360" w:before="0" w:after="0"/>
        <w:jc w:val="both"/>
        <w:rPr>
          <w:rFonts w:ascii="Times New Roman" w:hAnsi="Times New Roman" w:eastAsia="Times New Roman" w:cs="Times New Roman"/>
          <w:color w:val="000000"/>
          <w:sz w:val="24"/>
          <w:szCs w:val="24"/>
          <w14:ligatures w14:val="none"/>
        </w:rPr>
      </w:pPr>
      <w:r>
        <w:rPr>
          <w:rFonts w:eastAsia="SimSun" w:cs="Times New Roman" w:ascii="Times New Roman" w:hAnsi="Times New Roman"/>
          <w:sz w:val="24"/>
          <w:szCs w:val="24"/>
          <w14:ligatures w14:val="none"/>
        </w:rPr>
        <w:t xml:space="preserve">La PROVINCIA DI </w:t>
      </w:r>
      <w:r>
        <w:rPr>
          <w:rFonts w:eastAsia="Times New Roman" w:cs="Times New Roman" w:ascii="Times New Roman" w:hAnsi="Times New Roman"/>
          <w:color w:val="000000"/>
          <w:kern w:val="0"/>
          <w:sz w:val="24"/>
          <w:szCs w:val="24"/>
          <w14:ligatures w14:val="none"/>
        </w:rPr>
        <w:t>BRESCIA (C.F. 80008750178) nella</w:t>
      </w:r>
      <w:r>
        <w:rPr>
          <w:rFonts w:eastAsia="SimSun" w:cs="Times New Roman" w:ascii="Times New Roman" w:hAnsi="Times New Roman"/>
          <w:sz w:val="24"/>
          <w:szCs w:val="24"/>
          <w14:ligatures w14:val="none"/>
        </w:rPr>
        <w:t xml:space="preserve"> sua qualità di </w:t>
      </w:r>
      <w:r>
        <w:rPr>
          <w:rFonts w:eastAsia="Times New Roman" w:cs="Times New Roman" w:ascii="Times New Roman" w:hAnsi="Times New Roman"/>
          <w:color w:val="000000"/>
          <w:kern w:val="0"/>
          <w:sz w:val="24"/>
          <w:szCs w:val="24"/>
          <w14:ligatures w14:val="none"/>
        </w:rPr>
        <w:t>CENTRALE UNICA DI COMMITTENZA “AREA VASTA BRESCIA” – SEDE PRINCIPALE, d’ora innanzi “CUC”, con sede in Brescia, Piazza Paolo VI n. 29, nella persona del Dirigente, Dott. Fabio De Marco, domiciliato per detta carica presso la medesima sede</w:t>
      </w:r>
    </w:p>
    <w:p>
      <w:pPr>
        <w:pStyle w:val="Normal"/>
        <w:widowControl w:val="false"/>
        <w:spacing w:lineRule="auto" w:line="360" w:before="0" w:after="0"/>
        <w:jc w:val="center"/>
        <w:rPr>
          <w:rFonts w:ascii="Times New Roman" w:hAnsi="Times New Roman" w:eastAsia="Times New Roman" w:cs="Times New Roman"/>
          <w:color w:val="000000"/>
          <w:kern w:val="0"/>
          <w:sz w:val="24"/>
          <w:szCs w:val="24"/>
          <w14:ligatures w14:val="none"/>
        </w:rPr>
      </w:pPr>
      <w:r>
        <w:rPr>
          <w:rFonts w:eastAsia="Times New Roman" w:cs="Times New Roman" w:ascii="Times New Roman" w:hAnsi="Times New Roman"/>
          <w:color w:val="000000"/>
          <w:kern w:val="0"/>
          <w:sz w:val="24"/>
          <w:szCs w:val="24"/>
          <w14:ligatures w14:val="none"/>
        </w:rPr>
        <w:t>E</w:t>
      </w:r>
    </w:p>
    <w:p>
      <w:pPr>
        <w:pStyle w:val="Normal"/>
        <w:widowControl w:val="false"/>
        <w:spacing w:lineRule="auto" w:line="360" w:before="0" w:after="0"/>
        <w:jc w:val="center"/>
        <w:rPr>
          <w:rFonts w:ascii="Times New Roman" w:hAnsi="Times New Roman" w:eastAsia="Times New Roman" w:cs="Times New Roman"/>
          <w:color w:val="000000"/>
          <w:kern w:val="0"/>
          <w:sz w:val="24"/>
          <w:szCs w:val="24"/>
          <w14:ligatures w14:val="none"/>
        </w:rPr>
      </w:pPr>
      <w:r>
        <w:rPr>
          <w:rFonts w:eastAsia="Times New Roman" w:cs="Times New Roman" w:ascii="Times New Roman" w:hAnsi="Times New Roman"/>
          <w:color w:val="000000"/>
          <w:kern w:val="0"/>
          <w:sz w:val="24"/>
          <w:szCs w:val="24"/>
          <w14:ligatures w14:val="none"/>
        </w:rPr>
      </w:r>
    </w:p>
    <w:p>
      <w:pPr>
        <w:pStyle w:val="Normal"/>
        <w:spacing w:lineRule="auto" w:line="360" w:before="0" w:after="0"/>
        <w:jc w:val="both"/>
        <w:rPr>
          <w:rFonts w:ascii="Times New Roman" w:hAnsi="Times New Roman" w:eastAsia="Times New Roman" w:cs="Times New Roman"/>
          <w:color w:val="000000"/>
          <w:kern w:val="0"/>
          <w:sz w:val="24"/>
          <w:szCs w:val="24"/>
          <w14:ligatures w14:val="none"/>
        </w:rPr>
      </w:pPr>
      <w:r>
        <w:rPr>
          <w:rFonts w:eastAsia="Times New Roman" w:cs="Times New Roman" w:ascii="Times New Roman" w:hAnsi="Times New Roman"/>
          <w:color w:val="000000"/>
          <w:kern w:val="0"/>
          <w:sz w:val="24"/>
          <w:szCs w:val="24"/>
          <w14:ligatures w14:val="none"/>
        </w:rPr>
        <w:t xml:space="preserve">Il COMUNE DI MALNATE (C.F. 00243280120) d’ora innanzi “COMUNE”, con sede in Malnate (VA), Piazza Vittorio Veneto n. 2, nella persona del </w:t>
      </w:r>
      <w:r>
        <w:rPr>
          <w:rFonts w:eastAsia="Times New Roman" w:cs="Times New Roman" w:ascii="Times New Roman" w:hAnsi="Times New Roman"/>
          <w:color w:val="000000"/>
          <w:kern w:val="0"/>
          <w:sz w:val="24"/>
          <w:szCs w:val="24"/>
          <w14:ligatures w14:val="none"/>
        </w:rPr>
        <w:t>Segretario Generale, Dott. Rocco Ermidio</w:t>
      </w:r>
      <w:r>
        <w:rPr>
          <w:rFonts w:eastAsia="Times New Roman" w:cs="Times New Roman" w:ascii="Times New Roman" w:hAnsi="Times New Roman"/>
          <w:color w:val="000000"/>
          <w:kern w:val="0"/>
          <w:sz w:val="24"/>
          <w:szCs w:val="24"/>
          <w:shd w:fill="auto" w:val="clear"/>
          <w14:ligatures w14:val="none"/>
        </w:rPr>
        <w:t>,</w:t>
      </w:r>
      <w:r>
        <w:rPr>
          <w:rFonts w:eastAsia="Times New Roman" w:cs="Times New Roman" w:ascii="Times New Roman" w:hAnsi="Times New Roman"/>
          <w:color w:val="000000"/>
          <w:kern w:val="0"/>
          <w:sz w:val="24"/>
          <w:szCs w:val="24"/>
          <w14:ligatures w14:val="none"/>
        </w:rPr>
        <w:t xml:space="preserve"> domiciliato per detta carica presso la medesima sede</w:t>
      </w:r>
    </w:p>
    <w:p>
      <w:pPr>
        <w:pStyle w:val="Normal"/>
        <w:suppressAutoHyphens w:val="true"/>
        <w:spacing w:lineRule="auto" w:line="360" w:before="0" w:after="0"/>
        <w:ind w:left="-207" w:hanging="0"/>
        <w:jc w:val="both"/>
        <w:rPr>
          <w:rFonts w:ascii="Times New Roman" w:hAnsi="Times New Roman" w:eastAsia="Cambria" w:cs="Times New Roman"/>
          <w:color w:val="000000"/>
          <w:kern w:val="2"/>
          <w:sz w:val="24"/>
          <w:szCs w:val="24"/>
          <w14:ligatures w14:val="none"/>
        </w:rPr>
      </w:pPr>
      <w:r>
        <w:rPr>
          <w:rFonts w:eastAsia="Cambria" w:cs="Times New Roman" w:ascii="Times New Roman" w:hAnsi="Times New Roman"/>
          <w:color w:val="000000"/>
          <w:kern w:val="2"/>
          <w:sz w:val="24"/>
          <w:szCs w:val="24"/>
          <w14:ligatures w14:val="none"/>
        </w:rPr>
      </w:r>
    </w:p>
    <w:p>
      <w:pPr>
        <w:pStyle w:val="Normal"/>
        <w:widowControl w:val="false"/>
        <w:bidi w:val="0"/>
        <w:spacing w:lineRule="auto" w:line="360" w:before="0" w:after="0"/>
        <w:ind w:left="0" w:right="0" w:hanging="0"/>
        <w:jc w:val="center"/>
        <w:rPr>
          <w:rFonts w:ascii="Times New Roman" w:hAnsi="Times New Roman" w:eastAsia="Times New Roman" w:cs="Times New Roman"/>
          <w:b/>
          <w:bCs/>
          <w:color w:val="000000"/>
          <w:kern w:val="0"/>
          <w:sz w:val="24"/>
          <w:szCs w:val="24"/>
          <w14:ligatures w14:val="none"/>
        </w:rPr>
      </w:pPr>
      <w:r>
        <w:rPr>
          <w:rFonts w:eastAsia="Times New Roman" w:cs="Times New Roman" w:ascii="Times New Roman" w:hAnsi="Times New Roman"/>
          <w:b/>
          <w:bCs/>
          <w:color w:val="000000"/>
          <w:kern w:val="0"/>
          <w:sz w:val="24"/>
          <w:szCs w:val="24"/>
          <w14:ligatures w14:val="none"/>
        </w:rPr>
        <w:t>VISTI</w:t>
      </w:r>
    </w:p>
    <w:p>
      <w:pPr>
        <w:pStyle w:val="Normal"/>
        <w:widowControl w:val="false"/>
        <w:spacing w:lineRule="auto" w:line="360" w:before="0" w:after="0"/>
        <w:ind w:left="-567" w:hanging="0"/>
        <w:jc w:val="center"/>
        <w:rPr>
          <w:rFonts w:ascii="Times New Roman" w:hAnsi="Times New Roman" w:eastAsia="Times New Roman" w:cs="Times New Roman"/>
          <w:b/>
          <w:bCs/>
          <w:color w:val="000000"/>
          <w:sz w:val="24"/>
          <w:szCs w:val="24"/>
          <w14:ligatures w14:val="none"/>
        </w:rPr>
      </w:pPr>
      <w:r>
        <w:rPr>
          <w:rFonts w:eastAsia="Times New Roman" w:cs="Times New Roman" w:ascii="Times New Roman" w:hAnsi="Times New Roman"/>
          <w:b/>
          <w:bCs/>
          <w:color w:val="000000"/>
          <w:sz w:val="24"/>
          <w:szCs w:val="24"/>
          <w14:ligatures w14:val="none"/>
        </w:rPr>
      </w:r>
    </w:p>
    <w:p>
      <w:pPr>
        <w:pStyle w:val="Normal"/>
        <w:widowControl w:val="false"/>
        <w:numPr>
          <w:ilvl w:val="0"/>
          <w:numId w:val="1"/>
        </w:numPr>
        <w:tabs>
          <w:tab w:val="clear" w:pos="708"/>
          <w:tab w:val="left" w:pos="220" w:leader="none"/>
          <w:tab w:val="left" w:pos="720" w:leader="none"/>
        </w:tabs>
        <w:suppressAutoHyphens w:val="true"/>
        <w:spacing w:lineRule="auto" w:line="360" w:before="0" w:after="0"/>
        <w:contextualSpacing/>
        <w:jc w:val="both"/>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t>l’articolo 62 del Decreto Legislativo n. 36 del 31/03/2023 e successive modificazioni e integrazioni, recante “Codice dei contratti pubblici” (d’ora innanzi “Codice”);</w:t>
      </w:r>
    </w:p>
    <w:p>
      <w:pPr>
        <w:pStyle w:val="Normal"/>
        <w:widowControl w:val="false"/>
        <w:numPr>
          <w:ilvl w:val="0"/>
          <w:numId w:val="1"/>
        </w:numPr>
        <w:tabs>
          <w:tab w:val="clear" w:pos="708"/>
          <w:tab w:val="left" w:pos="220" w:leader="none"/>
          <w:tab w:val="left" w:pos="720" w:leader="none"/>
        </w:tabs>
        <w:suppressAutoHyphens w:val="true"/>
        <w:spacing w:lineRule="auto" w:line="360" w:before="0" w:after="0"/>
        <w:contextualSpacing/>
        <w:jc w:val="both"/>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t>l’articolo 63 del Codice che stabilisce le modalità di qualificazione delle Stazioni Appaltanti e delle Centrali di Committenza;</w:t>
      </w:r>
    </w:p>
    <w:p>
      <w:pPr>
        <w:pStyle w:val="Normal"/>
        <w:widowControl w:val="false"/>
        <w:numPr>
          <w:ilvl w:val="0"/>
          <w:numId w:val="1"/>
        </w:numPr>
        <w:tabs>
          <w:tab w:val="clear" w:pos="708"/>
          <w:tab w:val="left" w:pos="220" w:leader="none"/>
          <w:tab w:val="left" w:pos="720" w:leader="none"/>
        </w:tabs>
        <w:suppressAutoHyphens w:val="true"/>
        <w:spacing w:lineRule="auto" w:line="360" w:before="0" w:after="0"/>
        <w:contextualSpacing/>
        <w:jc w:val="both"/>
        <w:rPr>
          <w:rFonts w:ascii="Times New Roman" w:hAnsi="Times New Roman" w:eastAsia="Times New Roman" w:cs="Times New Roman"/>
          <w:color w:val="000000"/>
          <w:kern w:val="0"/>
          <w:sz w:val="24"/>
          <w:szCs w:val="24"/>
          <w14:ligatures w14:val="none"/>
        </w:rPr>
      </w:pPr>
      <w:r>
        <w:rPr>
          <w:rFonts w:eastAsia="Times New Roman" w:cs="Times New Roman" w:ascii="Times New Roman" w:hAnsi="Times New Roman"/>
          <w:color w:val="000000"/>
          <w:kern w:val="0"/>
          <w:sz w:val="24"/>
          <w:szCs w:val="24"/>
          <w14:ligatures w14:val="none"/>
        </w:rPr>
        <w:t>l’articolo 15 della Legge 07/08/1990 n. 241 e successive modificazioni e integrazioni, recante “Legge sul procedimento amministrativo”, a norma del quale le Amministrazioni pubbliche possono sempre concludere tra loro accordi per disciplinare lo svolgimento in collaborazione di attività di interesse comune.</w:t>
      </w:r>
    </w:p>
    <w:p>
      <w:pPr>
        <w:pStyle w:val="Normal"/>
        <w:widowControl w:val="false"/>
        <w:spacing w:lineRule="auto" w:line="360" w:before="0" w:after="0"/>
        <w:ind w:left="-567" w:hanging="0"/>
        <w:jc w:val="center"/>
        <w:rPr>
          <w:rFonts w:ascii="Times New Roman" w:hAnsi="Times New Roman" w:eastAsia="Times New Roman" w:cs="Times New Roman"/>
          <w:b/>
          <w:bCs/>
          <w:color w:val="000000"/>
          <w:kern w:val="0"/>
          <w:sz w:val="24"/>
          <w:szCs w:val="24"/>
          <w14:ligatures w14:val="none"/>
        </w:rPr>
      </w:pPr>
      <w:r>
        <w:rPr>
          <w:rFonts w:eastAsia="Times New Roman" w:cs="Times New Roman" w:ascii="Times New Roman" w:hAnsi="Times New Roman"/>
          <w:b/>
          <w:bCs/>
          <w:color w:val="000000"/>
          <w:kern w:val="0"/>
          <w:sz w:val="24"/>
          <w:szCs w:val="24"/>
          <w14:ligatures w14:val="none"/>
        </w:rPr>
      </w:r>
    </w:p>
    <w:p>
      <w:pPr>
        <w:pStyle w:val="Normal"/>
        <w:widowControl w:val="false"/>
        <w:bidi w:val="0"/>
        <w:spacing w:lineRule="auto" w:line="360" w:before="0" w:after="0"/>
        <w:ind w:left="0" w:right="0" w:hanging="0"/>
        <w:jc w:val="center"/>
        <w:rPr>
          <w:rFonts w:ascii="Times New Roman" w:hAnsi="Times New Roman" w:eastAsia="Times New Roman" w:cs="Times New Roman"/>
          <w:b/>
          <w:bCs/>
          <w:color w:val="000000"/>
          <w:kern w:val="2"/>
          <w:sz w:val="24"/>
          <w:szCs w:val="24"/>
          <w14:ligatures w14:val="none"/>
        </w:rPr>
      </w:pPr>
      <w:r>
        <w:rPr>
          <w:rFonts w:eastAsia="Times New Roman" w:cs="Times New Roman" w:ascii="Times New Roman" w:hAnsi="Times New Roman"/>
          <w:b/>
          <w:bCs/>
          <w:color w:val="000000"/>
          <w:kern w:val="0"/>
          <w:sz w:val="24"/>
          <w:szCs w:val="24"/>
          <w14:ligatures w14:val="none"/>
        </w:rPr>
        <w:t>PREMESSO CHE</w:t>
      </w:r>
    </w:p>
    <w:p>
      <w:pPr>
        <w:pStyle w:val="Normal"/>
        <w:widowControl w:val="false"/>
        <w:suppressAutoHyphens w:val="true"/>
        <w:spacing w:lineRule="auto" w:line="360" w:before="0" w:after="0"/>
        <w:ind w:left="-567" w:hanging="0"/>
        <w:jc w:val="center"/>
        <w:rPr>
          <w:rFonts w:ascii="Times New Roman" w:hAnsi="Times New Roman" w:eastAsia="Times New Roman" w:cs="Times New Roman"/>
          <w:b/>
          <w:bCs/>
          <w:color w:val="000000"/>
          <w:kern w:val="2"/>
          <w:sz w:val="24"/>
          <w:szCs w:val="24"/>
          <w14:ligatures w14:val="none"/>
        </w:rPr>
      </w:pPr>
      <w:r>
        <w:rPr>
          <w:rFonts w:eastAsia="Times New Roman" w:cs="Times New Roman" w:ascii="Times New Roman" w:hAnsi="Times New Roman"/>
          <w:b/>
          <w:bCs/>
          <w:color w:val="000000"/>
          <w:kern w:val="2"/>
          <w:sz w:val="24"/>
          <w:szCs w:val="24"/>
          <w14:ligatures w14:val="none"/>
        </w:rPr>
      </w:r>
    </w:p>
    <w:p>
      <w:pPr>
        <w:pStyle w:val="Normal"/>
        <w:widowControl w:val="false"/>
        <w:numPr>
          <w:ilvl w:val="0"/>
          <w:numId w:val="2"/>
        </w:numPr>
        <w:tabs>
          <w:tab w:val="clear" w:pos="708"/>
          <w:tab w:val="left" w:pos="220" w:leader="none"/>
          <w:tab w:val="left" w:pos="720" w:leader="none"/>
        </w:tabs>
        <w:suppressAutoHyphens w:val="true"/>
        <w:spacing w:lineRule="auto" w:line="360" w:before="0" w:after="0"/>
        <w:contextualSpacing/>
        <w:jc w:val="both"/>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t>con la Deliberazione del Consiglio Provinciale n. 31 del 28/07/2022, la Provincia di Brescia ha approvato lo schema di ‹‹Convenzione per la prosecuzione delle attività della Centrale Unica di Committenza “Area Vasta Brescia”, 2023-2032››, sottoscritta da questa Provincia con le Comunità Montane della Valle Trompia, del Sebino Bresciano e della Valle Camonica il 21/12/2022 e con la Comunità Montana Parco Alto Garda Bresciano il 15/01/2024;</w:t>
      </w:r>
    </w:p>
    <w:p>
      <w:pPr>
        <w:pStyle w:val="Normal"/>
        <w:widowControl w:val="false"/>
        <w:numPr>
          <w:ilvl w:val="0"/>
          <w:numId w:val="2"/>
        </w:numPr>
        <w:tabs>
          <w:tab w:val="clear" w:pos="708"/>
          <w:tab w:val="left" w:pos="220" w:leader="none"/>
          <w:tab w:val="left" w:pos="720" w:leader="none"/>
        </w:tabs>
        <w:suppressAutoHyphens w:val="true"/>
        <w:spacing w:lineRule="auto" w:line="360" w:before="0" w:after="0"/>
        <w:contextualSpacing/>
        <w:jc w:val="both"/>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t>con nota asseverata in data 08/10/2024 al prot. n. 179424/2024 la Comunità Montana di Valle Camonica comunica che in data 7 ottobre 2024 l’Assemblea ha deliberato il recesso dalla Convenzione succitata, con decorrenza dal 01/01/2025;</w:t>
      </w:r>
    </w:p>
    <w:p>
      <w:pPr>
        <w:pStyle w:val="Normal"/>
        <w:widowControl w:val="false"/>
        <w:numPr>
          <w:ilvl w:val="0"/>
          <w:numId w:val="2"/>
        </w:numPr>
        <w:tabs>
          <w:tab w:val="clear" w:pos="708"/>
          <w:tab w:val="left" w:pos="220" w:leader="none"/>
          <w:tab w:val="left" w:pos="720" w:leader="none"/>
        </w:tabs>
        <w:suppressAutoHyphens w:val="true"/>
        <w:spacing w:lineRule="auto" w:line="360" w:before="0" w:after="0"/>
        <w:contextualSpacing/>
        <w:jc w:val="both"/>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t>al fine di adeguare la disciplina dei rapporti tra la CUC e i Comuni di cui alla citata convenzione per allinearne i contenuti alle novelle normative introdotte dal D.Lgs. n. 209/2024 nonché alle recenti deliberazioni dell’ANAC che hanno compresso la competenza dei Comuni (non qualificati alla fase di progettazione e affidamento) nello svolgimento dei procedimenti di gara, escludendo la possibilità per gli stessi di adottare il provvedimento di aggiudicazione, con deliberazione del Consiglio Provinciale n. 12 del 27/03/2025, questa Provincia ha approvato il nuovo schema di «Convenzione con i Comuni per lo svolgimento dell’attività della Centrale Unica di Committenza “Area Vasta Brescia”, scadenza 31/12/2027»;</w:t>
      </w:r>
    </w:p>
    <w:p>
      <w:pPr>
        <w:pStyle w:val="Normal"/>
        <w:widowControl w:val="false"/>
        <w:numPr>
          <w:ilvl w:val="0"/>
          <w:numId w:val="2"/>
        </w:numPr>
        <w:tabs>
          <w:tab w:val="clear" w:pos="708"/>
          <w:tab w:val="left" w:pos="220" w:leader="none"/>
          <w:tab w:val="left" w:pos="720" w:leader="none"/>
        </w:tabs>
        <w:suppressAutoHyphens w:val="true"/>
        <w:spacing w:lineRule="auto" w:line="360" w:before="0" w:after="0"/>
        <w:contextualSpacing/>
        <w:jc w:val="both"/>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t>in attuazione della D.C.P. n. 12/2025 ed in coerenza con il processo di ridefinizione della disciplina dei rapporti tra la CUC ed i Comuni/Enti aderenti, con il Decreto n. 83 del 03/04/2025 il Presidente della Provincia di Brescia ha approvato il nuovo ‹‹Regolamento di organizzazione sul funzionamento della Centrale Unica di Committenza “Area Vasta Brescia”››;</w:t>
      </w:r>
    </w:p>
    <w:p>
      <w:pPr>
        <w:pStyle w:val="Normal"/>
        <w:widowControl w:val="false"/>
        <w:tabs>
          <w:tab w:val="clear" w:pos="708"/>
          <w:tab w:val="left" w:pos="220" w:leader="none"/>
          <w:tab w:val="left" w:pos="720" w:leader="none"/>
        </w:tabs>
        <w:spacing w:lineRule="auto" w:line="360" w:before="0" w:after="0"/>
        <w:ind w:left="-207" w:hanging="0"/>
        <w:contextualSpacing/>
        <w:jc w:val="both"/>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r>
    </w:p>
    <w:p>
      <w:pPr>
        <w:pStyle w:val="Normal"/>
        <w:widowControl w:val="false"/>
        <w:suppressAutoHyphens w:val="true"/>
        <w:bidi w:val="0"/>
        <w:spacing w:lineRule="auto" w:line="360" w:before="0" w:after="0"/>
        <w:ind w:left="0" w:right="0" w:hanging="0"/>
        <w:jc w:val="center"/>
        <w:rPr>
          <w:rFonts w:ascii="Times New Roman" w:hAnsi="Times New Roman" w:eastAsia="Times New Roman" w:cs="Times New Roman"/>
          <w:b/>
          <w:bCs/>
          <w:color w:val="000000"/>
          <w:kern w:val="2"/>
          <w:sz w:val="24"/>
          <w:szCs w:val="24"/>
          <w14:ligatures w14:val="none"/>
        </w:rPr>
      </w:pPr>
      <w:r>
        <w:rPr>
          <w:rFonts w:eastAsia="Times New Roman" w:cs="Times New Roman" w:ascii="Times New Roman" w:hAnsi="Times New Roman"/>
          <w:b/>
          <w:bCs/>
          <w:color w:val="000000"/>
          <w:kern w:val="2"/>
          <w:sz w:val="24"/>
          <w:szCs w:val="24"/>
          <w14:ligatures w14:val="none"/>
        </w:rPr>
        <w:t>RICHIAMATE</w:t>
      </w:r>
    </w:p>
    <w:p>
      <w:pPr>
        <w:pStyle w:val="Normal"/>
        <w:widowControl w:val="false"/>
        <w:suppressAutoHyphens w:val="true"/>
        <w:spacing w:lineRule="auto" w:line="360" w:before="0" w:after="0"/>
        <w:ind w:left="-567" w:hanging="0"/>
        <w:jc w:val="center"/>
        <w:rPr>
          <w:rFonts w:ascii="Times New Roman" w:hAnsi="Times New Roman" w:eastAsia="Times New Roman" w:cs="Times New Roman"/>
          <w:b/>
          <w:bCs/>
          <w:color w:val="000000"/>
          <w:kern w:val="2"/>
          <w:sz w:val="24"/>
          <w:szCs w:val="24"/>
          <w14:ligatures w14:val="none"/>
        </w:rPr>
      </w:pPr>
      <w:r>
        <w:rPr>
          <w:rFonts w:eastAsia="Times New Roman" w:cs="Times New Roman" w:ascii="Times New Roman" w:hAnsi="Times New Roman"/>
          <w:b/>
          <w:bCs/>
          <w:color w:val="000000"/>
          <w:kern w:val="2"/>
          <w:sz w:val="24"/>
          <w:szCs w:val="24"/>
          <w14:ligatures w14:val="none"/>
        </w:rPr>
      </w:r>
    </w:p>
    <w:p>
      <w:pPr>
        <w:pStyle w:val="Normal"/>
        <w:widowControl w:val="false"/>
        <w:numPr>
          <w:ilvl w:val="0"/>
          <w:numId w:val="3"/>
        </w:numPr>
        <w:suppressAutoHyphens w:val="true"/>
        <w:spacing w:lineRule="auto" w:line="360" w:before="0" w:after="0"/>
        <w:jc w:val="both"/>
        <w:rPr>
          <w:rFonts w:ascii="Times New Roman" w:hAnsi="Times New Roman" w:eastAsia="SimSun" w:cs="Times New Roman"/>
          <w:color w:val="000000"/>
          <w:kern w:val="2"/>
          <w:sz w:val="24"/>
          <w:szCs w:val="24"/>
          <w14:ligatures w14:val="none"/>
        </w:rPr>
      </w:pPr>
      <w:r>
        <w:rPr>
          <w:rFonts w:eastAsia="Times New Roman" w:cs="Times New Roman" w:ascii="Times New Roman" w:hAnsi="Times New Roman"/>
          <w:color w:val="000000"/>
          <w:kern w:val="2"/>
          <w:sz w:val="24"/>
          <w:szCs w:val="24"/>
          <w14:ligatures w14:val="none"/>
        </w:rPr>
        <w:t xml:space="preserve">la </w:t>
      </w:r>
      <w:r>
        <w:rPr>
          <w:rFonts w:eastAsia="Times New Roman" w:cs="Times New Roman" w:ascii="Times New Roman" w:hAnsi="Times New Roman"/>
          <w:color w:val="000000"/>
          <w:kern w:val="0"/>
          <w:sz w:val="24"/>
          <w:szCs w:val="24"/>
          <w14:ligatures w14:val="none"/>
        </w:rPr>
        <w:t>determinazione</w:t>
      </w:r>
      <w:r>
        <w:rPr>
          <w:rFonts w:eastAsia="Times New Roman" w:cs="Times New Roman" w:ascii="Times New Roman" w:hAnsi="Times New Roman"/>
          <w:kern w:val="2"/>
          <w:sz w:val="24"/>
          <w:szCs w:val="24"/>
          <w:lang w:bidi="hi-IN"/>
          <w14:ligatures w14:val="none"/>
        </w:rPr>
        <w:t xml:space="preserve"> n. __ del __/__/2025 (assunta al Prot. Gen. n. _______/2025, in atti) del Comune di Malnate,</w:t>
      </w:r>
      <w:r>
        <w:rPr>
          <w:rFonts w:eastAsia="Times New Roman" w:cs="Times New Roman" w:ascii="Times New Roman" w:hAnsi="Times New Roman"/>
          <w:color w:val="000000"/>
          <w:kern w:val="2"/>
          <w:sz w:val="24"/>
          <w:szCs w:val="24"/>
          <w14:ligatures w14:val="none"/>
        </w:rPr>
        <w:t xml:space="preserve"> </w:t>
      </w:r>
    </w:p>
    <w:p>
      <w:pPr>
        <w:pStyle w:val="Normal"/>
        <w:widowControl w:val="false"/>
        <w:numPr>
          <w:ilvl w:val="0"/>
          <w:numId w:val="3"/>
        </w:numPr>
        <w:suppressAutoHyphens w:val="true"/>
        <w:spacing w:lineRule="auto" w:line="360" w:before="0" w:after="0"/>
        <w:jc w:val="both"/>
        <w:rPr>
          <w:rFonts w:ascii="Times New Roman" w:hAnsi="Times New Roman" w:eastAsia="SimSun" w:cs="Times New Roman"/>
          <w:color w:val="000000"/>
          <w:kern w:val="2"/>
          <w:sz w:val="24"/>
          <w:szCs w:val="24"/>
          <w14:ligatures w14:val="none"/>
        </w:rPr>
      </w:pPr>
      <w:r>
        <w:rPr>
          <w:rFonts w:eastAsia="Times New Roman" w:cs="Times New Roman" w:ascii="Times New Roman" w:hAnsi="Times New Roman"/>
          <w:color w:val="000000"/>
          <w:kern w:val="0"/>
          <w:sz w:val="24"/>
          <w:szCs w:val="24"/>
          <w14:ligatures w14:val="none"/>
        </w:rPr>
        <w:t xml:space="preserve">la determinazione dirigenziale n. ____ del __/__/2025 del Settore Stazione Appaltante – CUC di Area Vasta – Soggetto Aggregatore della Provincia di Brescia (Sede Principale della CUC Area Vasta Brescia) </w:t>
      </w:r>
    </w:p>
    <w:p>
      <w:pPr>
        <w:pStyle w:val="Normal"/>
        <w:suppressAutoHyphens w:val="true"/>
        <w:spacing w:lineRule="auto" w:line="360" w:before="0" w:after="0"/>
        <w:ind w:left="513" w:hanging="0"/>
        <w:jc w:val="both"/>
        <w:rPr>
          <w:rFonts w:ascii="Times New Roman" w:hAnsi="Times New Roman" w:eastAsia="SimSun" w:cs="Times New Roman"/>
          <w:i/>
          <w:i/>
          <w:iCs/>
          <w:kern w:val="2"/>
          <w:sz w:val="24"/>
          <w:szCs w:val="24"/>
          <w14:ligatures w14:val="none"/>
        </w:rPr>
      </w:pPr>
      <w:r>
        <w:rPr>
          <w:rFonts w:eastAsia="Times New Roman" w:cs="Times New Roman" w:ascii="Times New Roman" w:hAnsi="Times New Roman"/>
          <w:color w:val="000000"/>
          <w:kern w:val="0"/>
          <w:sz w:val="24"/>
          <w:szCs w:val="24"/>
          <w14:ligatures w14:val="none"/>
        </w:rPr>
        <w:t xml:space="preserve">con le quali è stato approvato lo schema del presente Accordo, avente lo scopo di disciplinare i rapporti tra le parti relativamente all’espletamento da parte della CUC </w:t>
      </w:r>
      <w:r>
        <w:rPr>
          <w:rFonts w:eastAsia="Times New Roman" w:cs="Times New Roman" w:ascii="Times New Roman" w:hAnsi="Times New Roman"/>
          <w:kern w:val="0"/>
          <w:sz w:val="24"/>
          <w:szCs w:val="24"/>
          <w14:ligatures w14:val="none"/>
        </w:rPr>
        <w:t xml:space="preserve">della procedura di gara per l’affidamento </w:t>
      </w:r>
      <w:r>
        <w:rPr>
          <w:rFonts w:eastAsia="SimSun" w:cs="Times New Roman" w:ascii="Times New Roman" w:hAnsi="Times New Roman"/>
          <w:kern w:val="2"/>
          <w:sz w:val="24"/>
          <w:szCs w:val="24"/>
          <w14:ligatures w14:val="none"/>
        </w:rPr>
        <w:t>in concessione della gestione della farmacia comunale</w:t>
      </w:r>
      <w:r>
        <w:rPr>
          <w:rFonts w:eastAsia="Times New Roman" w:cs="Times New Roman" w:ascii="Times New Roman" w:hAnsi="Times New Roman"/>
          <w:kern w:val="0"/>
          <w:sz w:val="24"/>
          <w:szCs w:val="24"/>
          <w14:ligatures w14:val="none"/>
        </w:rPr>
        <w:t xml:space="preserve"> </w:t>
      </w:r>
      <w:r>
        <w:rPr>
          <w:rFonts w:eastAsia="Times New Roman" w:cs="Times New Roman" w:ascii="Times New Roman" w:hAnsi="Times New Roman"/>
          <w:color w:val="000000"/>
          <w:kern w:val="0"/>
          <w:sz w:val="24"/>
          <w:szCs w:val="24"/>
          <w14:ligatures w14:val="none"/>
        </w:rPr>
        <w:t>per conto dello stesso COMUNE.</w:t>
      </w:r>
      <w:r>
        <w:rPr>
          <w:rFonts w:eastAsia="Times New Roman" w:cs="Times New Roman" w:ascii="Times New Roman" w:hAnsi="Times New Roman"/>
          <w:color w:val="000000"/>
          <w:kern w:val="2"/>
          <w:sz w:val="24"/>
          <w:szCs w:val="24"/>
          <w14:ligatures w14:val="none"/>
        </w:rPr>
        <w:t xml:space="preserve"> </w:t>
      </w:r>
    </w:p>
    <w:p>
      <w:pPr>
        <w:pStyle w:val="Normal"/>
        <w:widowControl w:val="false"/>
        <w:tabs>
          <w:tab w:val="clear" w:pos="708"/>
          <w:tab w:val="left" w:pos="220" w:leader="none"/>
          <w:tab w:val="left" w:pos="720" w:leader="none"/>
        </w:tabs>
        <w:spacing w:lineRule="auto" w:line="360" w:before="0" w:after="0"/>
        <w:ind w:left="-567" w:hanging="0"/>
        <w:contextualSpacing/>
        <w:jc w:val="both"/>
        <w:rPr>
          <w:rFonts w:ascii="Times New Roman" w:hAnsi="Times New Roman" w:eastAsia="SimSun" w:cs="Times New Roman"/>
          <w:color w:val="000000"/>
          <w:kern w:val="2"/>
          <w:sz w:val="24"/>
          <w:szCs w:val="24"/>
          <w14:ligatures w14:val="none"/>
        </w:rPr>
      </w:pPr>
      <w:r>
        <w:rPr>
          <w:rFonts w:eastAsia="SimSun" w:cs="Times New Roman" w:ascii="Times New Roman" w:hAnsi="Times New Roman"/>
          <w:color w:val="000000"/>
          <w:kern w:val="2"/>
          <w:sz w:val="24"/>
          <w:szCs w:val="24"/>
          <w14:ligatures w14:val="none"/>
        </w:rPr>
      </w:r>
    </w:p>
    <w:p>
      <w:pPr>
        <w:pStyle w:val="Normal"/>
        <w:widowControl w:val="false"/>
        <w:suppressAutoHyphens w:val="true"/>
        <w:spacing w:lineRule="auto" w:line="360" w:before="0" w:after="0"/>
        <w:jc w:val="center"/>
        <w:rPr>
          <w:rFonts w:ascii="Times New Roman" w:hAnsi="Times New Roman" w:eastAsia="SimSun" w:cs="Times New Roman"/>
          <w:b/>
          <w:bCs/>
          <w:color w:val="0C0C0F"/>
          <w:kern w:val="2"/>
          <w:sz w:val="24"/>
          <w:szCs w:val="24"/>
          <w14:ligatures w14:val="none"/>
        </w:rPr>
      </w:pPr>
      <w:r>
        <w:rPr>
          <w:rFonts w:eastAsia="SimSun" w:cs="Times New Roman" w:ascii="Times New Roman" w:hAnsi="Times New Roman"/>
          <w:b/>
          <w:bCs/>
          <w:color w:val="0C0C0F"/>
          <w:kern w:val="2"/>
          <w:sz w:val="24"/>
          <w:szCs w:val="24"/>
          <w14:ligatures w14:val="none"/>
        </w:rPr>
        <w:t>VISTI</w:t>
      </w:r>
    </w:p>
    <w:p>
      <w:pPr>
        <w:pStyle w:val="Normal"/>
        <w:widowControl w:val="false"/>
        <w:suppressAutoHyphens w:val="true"/>
        <w:spacing w:lineRule="auto" w:line="360" w:before="0" w:after="0"/>
        <w:jc w:val="center"/>
        <w:rPr>
          <w:rFonts w:ascii="Times New Roman" w:hAnsi="Times New Roman" w:eastAsia="SimSun" w:cs="Times New Roman"/>
          <w:b/>
          <w:bCs/>
          <w:color w:val="0C0C0F"/>
          <w:kern w:val="2"/>
          <w:sz w:val="24"/>
          <w:szCs w:val="24"/>
          <w14:ligatures w14:val="none"/>
        </w:rPr>
      </w:pPr>
      <w:r>
        <w:rPr>
          <w:rFonts w:eastAsia="SimSun" w:cs="Times New Roman" w:ascii="Times New Roman" w:hAnsi="Times New Roman"/>
          <w:b/>
          <w:bCs/>
          <w:color w:val="0C0C0F"/>
          <w:kern w:val="2"/>
          <w:sz w:val="24"/>
          <w:szCs w:val="24"/>
          <w14:ligatures w14:val="none"/>
        </w:rPr>
      </w:r>
    </w:p>
    <w:p>
      <w:pPr>
        <w:pStyle w:val="Normal"/>
        <w:widowControl w:val="false"/>
        <w:numPr>
          <w:ilvl w:val="0"/>
          <w:numId w:val="4"/>
        </w:numPr>
        <w:tabs>
          <w:tab w:val="clear" w:pos="708"/>
          <w:tab w:val="left" w:pos="220" w:leader="none"/>
          <w:tab w:val="left" w:pos="720" w:leader="none"/>
        </w:tabs>
        <w:suppressAutoHyphens w:val="true"/>
        <w:spacing w:lineRule="auto" w:line="360" w:before="0" w:after="0"/>
        <w:contextualSpacing/>
        <w:jc w:val="both"/>
        <w:rPr>
          <w:rFonts w:ascii="Times New Roman" w:hAnsi="Times New Roman" w:eastAsia="SimSun" w:cs="Times New Roman"/>
          <w:kern w:val="2"/>
          <w:sz w:val="24"/>
          <w:szCs w:val="24"/>
          <w14:ligatures w14:val="none"/>
        </w:rPr>
      </w:pPr>
      <w:r>
        <w:rPr>
          <w:rFonts w:eastAsia="SimSun" w:cs="Times New Roman" w:ascii="Times New Roman" w:hAnsi="Times New Roman"/>
          <w:color w:val="0C0C0F"/>
          <w:kern w:val="2"/>
          <w:sz w:val="24"/>
          <w:szCs w:val="24"/>
          <w:shd w:fill="FFFFFF" w:val="clear"/>
          <w14:ligatures w14:val="none"/>
        </w:rPr>
        <w:t>l’articolo 107 del D.Lgs. n. 267/2000 e successive modificazioni e integrazioni, recante “Testo unico degli Enti Locali”, in merito alle funzioni e responsabilità dirigenziali;</w:t>
      </w:r>
    </w:p>
    <w:p>
      <w:pPr>
        <w:pStyle w:val="Normal"/>
        <w:widowControl w:val="false"/>
        <w:numPr>
          <w:ilvl w:val="0"/>
          <w:numId w:val="4"/>
        </w:numPr>
        <w:tabs>
          <w:tab w:val="clear" w:pos="708"/>
          <w:tab w:val="left" w:pos="220" w:leader="none"/>
          <w:tab w:val="left" w:pos="720" w:leader="none"/>
        </w:tabs>
        <w:suppressAutoHyphens w:val="true"/>
        <w:spacing w:lineRule="auto" w:line="360" w:before="0" w:after="0"/>
        <w:contextualSpacing/>
        <w:jc w:val="both"/>
        <w:rPr>
          <w:rFonts w:ascii="Times New Roman" w:hAnsi="Times New Roman" w:eastAsia="SimSun" w:cs="Times New Roman"/>
          <w:color w:val="FF0000"/>
          <w:kern w:val="2"/>
          <w:sz w:val="24"/>
          <w:szCs w:val="24"/>
          <w14:ligatures w14:val="none"/>
        </w:rPr>
      </w:pPr>
      <w:r>
        <w:rPr>
          <w:rFonts w:eastAsia="SimSun" w:cs="Times New Roman" w:ascii="Times New Roman" w:hAnsi="Times New Roman"/>
          <w:kern w:val="2"/>
          <w:sz w:val="24"/>
          <w:szCs w:val="24"/>
          <w14:ligatures w14:val="none"/>
        </w:rPr>
        <w:t xml:space="preserve">l’articolo 48 del D.Lgs. n. 267/2000 e successive modificazioni e integrazioni, recante “Testo unico degli Enti Locali”, in merito alle funzioni della Giunta Comunale; </w:t>
      </w:r>
    </w:p>
    <w:p>
      <w:pPr>
        <w:pStyle w:val="Normal"/>
        <w:widowControl w:val="false"/>
        <w:numPr>
          <w:ilvl w:val="0"/>
          <w:numId w:val="0"/>
        </w:numPr>
        <w:tabs>
          <w:tab w:val="clear" w:pos="708"/>
          <w:tab w:val="left" w:pos="220" w:leader="none"/>
          <w:tab w:val="left" w:pos="720" w:leader="none"/>
        </w:tabs>
        <w:suppressAutoHyphens w:val="true"/>
        <w:spacing w:lineRule="auto" w:line="360" w:before="0" w:after="0"/>
        <w:ind w:left="513" w:hanging="0"/>
        <w:contextualSpacing/>
        <w:jc w:val="both"/>
        <w:rPr>
          <w:rFonts w:ascii="Times New Roman" w:hAnsi="Times New Roman" w:eastAsia="SimSun" w:cs="Times New Roman"/>
          <w:color w:val="FF0000"/>
          <w:kern w:val="2"/>
          <w:sz w:val="24"/>
          <w:szCs w:val="24"/>
          <w14:ligatures w14:val="none"/>
        </w:rPr>
      </w:pPr>
      <w:r>
        <w:rPr>
          <w:rFonts w:eastAsia="SimSun" w:cs="Times New Roman" w:ascii="Times New Roman" w:hAnsi="Times New Roman"/>
          <w:color w:val="FF0000"/>
          <w:kern w:val="2"/>
          <w:sz w:val="24"/>
          <w:szCs w:val="24"/>
          <w14:ligatures w14:val="none"/>
        </w:rPr>
      </w:r>
    </w:p>
    <w:p>
      <w:pPr>
        <w:pStyle w:val="Normal"/>
        <w:widowControl w:val="false"/>
        <w:numPr>
          <w:ilvl w:val="0"/>
          <w:numId w:val="5"/>
        </w:numPr>
        <w:tabs>
          <w:tab w:val="clear" w:pos="708"/>
          <w:tab w:val="left" w:pos="720" w:leader="none"/>
        </w:tabs>
        <w:suppressAutoHyphens w:val="true"/>
        <w:bidi w:val="0"/>
        <w:spacing w:lineRule="auto" w:line="360" w:before="0" w:after="0"/>
        <w:ind w:left="0" w:right="0" w:hanging="0"/>
        <w:jc w:val="center"/>
        <w:rPr/>
      </w:pPr>
      <w:r>
        <w:rPr>
          <w:rFonts w:eastAsia="Times New Roman" w:cs="Times New Roman" w:ascii="Times New Roman" w:hAnsi="Times New Roman"/>
          <w:b/>
          <w:color w:val="000000"/>
          <w:kern w:val="0"/>
          <w:sz w:val="24"/>
          <w:szCs w:val="24"/>
          <w14:ligatures w14:val="none"/>
        </w:rPr>
        <w:t>TUTTO CIÒ PREMESSO</w:t>
      </w:r>
    </w:p>
    <w:p>
      <w:pPr>
        <w:pStyle w:val="Normal"/>
        <w:widowControl w:val="false"/>
        <w:numPr>
          <w:ilvl w:val="0"/>
          <w:numId w:val="5"/>
        </w:numPr>
        <w:tabs>
          <w:tab w:val="clear" w:pos="708"/>
          <w:tab w:val="left" w:pos="720" w:leader="none"/>
        </w:tabs>
        <w:suppressAutoHyphens w:val="true"/>
        <w:bidi w:val="0"/>
        <w:spacing w:lineRule="auto" w:line="360" w:before="0" w:after="0"/>
        <w:ind w:left="0" w:right="0" w:hanging="0"/>
        <w:jc w:val="center"/>
        <w:rPr/>
      </w:pPr>
      <w:r>
        <w:rPr>
          <w:rFonts w:eastAsia="Times New Roman" w:cs="Times New Roman" w:ascii="Times New Roman" w:hAnsi="Times New Roman"/>
          <w:b/>
          <w:color w:val="000000"/>
          <w:kern w:val="0"/>
          <w:sz w:val="24"/>
          <w:szCs w:val="24"/>
          <w14:ligatures w14:val="none"/>
        </w:rPr>
        <w:t>SI CONVIENE E SI STIPULA QUANTO SEGUE</w:t>
      </w:r>
    </w:p>
    <w:p>
      <w:pPr>
        <w:pStyle w:val="Normal"/>
        <w:widowControl w:val="false"/>
        <w:suppressAutoHyphens w:val="true"/>
        <w:spacing w:lineRule="auto" w:line="360" w:before="0" w:after="0"/>
        <w:jc w:val="both"/>
        <w:rPr>
          <w:rFonts w:ascii="Times New Roman" w:hAnsi="Times New Roman" w:eastAsia="SimSun" w:cs="Times New Roman"/>
          <w:color w:val="000000"/>
          <w:kern w:val="2"/>
          <w:sz w:val="24"/>
          <w:szCs w:val="24"/>
          <w:shd w:fill="F5FDFE" w:val="clear"/>
          <w14:ligatures w14:val="none"/>
        </w:rPr>
      </w:pPr>
      <w:r>
        <w:rPr>
          <w:rFonts w:eastAsia="SimSun" w:cs="Times New Roman" w:ascii="Times New Roman" w:hAnsi="Times New Roman"/>
          <w:color w:val="000000"/>
          <w:kern w:val="2"/>
          <w:sz w:val="24"/>
          <w:szCs w:val="24"/>
          <w:shd w:fill="F5FDFE" w:val="clear"/>
          <w14:ligatures w14:val="none"/>
        </w:rPr>
      </w:r>
    </w:p>
    <w:p>
      <w:pPr>
        <w:pStyle w:val="Normal"/>
        <w:suppressAutoHyphens w:val="true"/>
        <w:spacing w:lineRule="auto" w:line="360" w:before="0" w:after="0"/>
        <w:jc w:val="both"/>
        <w:rPr>
          <w:rFonts w:ascii="Times New Roman" w:hAnsi="Times New Roman" w:eastAsia="SimSun" w:cs="Times New Roman"/>
          <w:b/>
          <w:bCs/>
          <w:kern w:val="2"/>
          <w:sz w:val="24"/>
          <w:szCs w:val="24"/>
          <w14:ligatures w14:val="none"/>
        </w:rPr>
      </w:pPr>
      <w:r>
        <w:rPr>
          <w:rFonts w:eastAsia="SimSun" w:cs="Times New Roman" w:ascii="Times New Roman" w:hAnsi="Times New Roman"/>
          <w:b/>
          <w:bCs/>
          <w:kern w:val="2"/>
          <w:sz w:val="24"/>
          <w:szCs w:val="24"/>
          <w14:ligatures w14:val="none"/>
        </w:rPr>
        <w:t>Articolo 1 - Oggetto</w:t>
      </w:r>
    </w:p>
    <w:p>
      <w:pPr>
        <w:pStyle w:val="Normal"/>
        <w:suppressAutoHyphens w:val="true"/>
        <w:spacing w:lineRule="auto" w:line="360" w:before="0" w:after="0"/>
        <w:jc w:val="both"/>
        <w:rPr>
          <w:rFonts w:ascii="Times New Roman" w:hAnsi="Times New Roman" w:eastAsia="Times New Roman" w:cs="Times New Roman"/>
          <w:i/>
          <w:i/>
          <w:iCs/>
          <w:color w:val="000000"/>
          <w:kern w:val="0"/>
          <w:sz w:val="24"/>
          <w:szCs w:val="24"/>
          <w:lang w:eastAsia="it-IT"/>
          <w14:ligatures w14:val="none"/>
        </w:rPr>
      </w:pPr>
      <w:r>
        <w:rPr>
          <w:rFonts w:eastAsia="Times New Roman" w:cs="Times New Roman" w:ascii="Times New Roman" w:hAnsi="Times New Roman"/>
          <w:color w:val="000000"/>
          <w:kern w:val="0"/>
          <w:sz w:val="24"/>
          <w:szCs w:val="24"/>
          <w:lang w:eastAsia="it-IT"/>
          <w14:ligatures w14:val="none"/>
        </w:rPr>
        <w:t xml:space="preserve">Il presente Accordo regola i rapporti tra le parti ai fini dell’espletamento, da parte della CUC, per conto del COMUNE, </w:t>
      </w:r>
      <w:r>
        <w:rPr>
          <w:rFonts w:eastAsia="Times New Roman" w:cs="Times New Roman" w:ascii="Times New Roman" w:hAnsi="Times New Roman"/>
          <w:kern w:val="0"/>
          <w:sz w:val="24"/>
          <w:szCs w:val="24"/>
          <w14:ligatures w14:val="none"/>
        </w:rPr>
        <w:t xml:space="preserve">della procedura di gara per l’affidamento </w:t>
      </w:r>
      <w:r>
        <w:rPr>
          <w:rFonts w:eastAsia="SimSun" w:cs="Times New Roman" w:ascii="Times New Roman" w:hAnsi="Times New Roman"/>
          <w:kern w:val="2"/>
          <w:sz w:val="24"/>
          <w:szCs w:val="24"/>
          <w14:ligatures w14:val="none"/>
        </w:rPr>
        <w:t>in concessione della gestione della farmacia comunale</w:t>
      </w:r>
      <w:r>
        <w:rPr>
          <w:rFonts w:eastAsia="Times New Roman" w:cs="Times New Roman" w:ascii="Times New Roman" w:hAnsi="Times New Roman"/>
          <w:i/>
          <w:iCs/>
          <w:color w:val="000000"/>
          <w:kern w:val="0"/>
          <w:sz w:val="24"/>
          <w:szCs w:val="24"/>
          <w:lang w:eastAsia="it-IT"/>
          <w14:ligatures w14:val="none"/>
        </w:rPr>
        <w:t>;</w:t>
      </w:r>
    </w:p>
    <w:p>
      <w:pPr>
        <w:pStyle w:val="Normal"/>
        <w:suppressAutoHyphens w:val="true"/>
        <w:spacing w:lineRule="auto" w:line="360" w:before="0" w:after="0"/>
        <w:jc w:val="both"/>
        <w:rPr>
          <w:rFonts w:ascii="Times New Roman" w:hAnsi="Times New Roman" w:eastAsia="SimSun" w:cs="Times New Roman"/>
          <w:kern w:val="2"/>
          <w:sz w:val="24"/>
          <w:szCs w:val="24"/>
          <w14:ligatures w14:val="none"/>
        </w:rPr>
      </w:pPr>
      <w:r>
        <w:rPr>
          <w:rFonts w:eastAsia="Times New Roman" w:cs="Times New Roman" w:ascii="Times New Roman" w:hAnsi="Times New Roman"/>
          <w:color w:val="000000"/>
          <w:kern w:val="0"/>
          <w:sz w:val="24"/>
          <w:szCs w:val="24"/>
          <w14:ligatures w14:val="none"/>
        </w:rPr>
        <w:t>La CUC espleta la suddetta procedura di gara nell’esercizio delle funzioni di Stazione Appaltante</w:t>
      </w:r>
      <w:r>
        <w:rPr>
          <w:rFonts w:eastAsia="SimSun" w:cs="Times New Roman" w:ascii="Times New Roman" w:hAnsi="Times New Roman"/>
          <w:kern w:val="2"/>
          <w:sz w:val="24"/>
          <w:szCs w:val="24"/>
          <w14:ligatures w14:val="none"/>
        </w:rPr>
        <w:t xml:space="preserve"> e Centrale di Committenza, ai sensi dell’articolo 63 del Codice.</w:t>
      </w:r>
    </w:p>
    <w:p>
      <w:pPr>
        <w:pStyle w:val="Normal"/>
        <w:suppressAutoHyphens w:val="true"/>
        <w:spacing w:lineRule="auto" w:line="360" w:before="0" w:after="0"/>
        <w:jc w:val="both"/>
        <w:rPr>
          <w:rFonts w:ascii="Times New Roman" w:hAnsi="Times New Roman" w:eastAsia="SimSun" w:cs="Times New Roman"/>
          <w:b/>
          <w:bCs/>
          <w:kern w:val="2"/>
          <w:sz w:val="24"/>
          <w:szCs w:val="24"/>
          <w14:ligatures w14:val="none"/>
        </w:rPr>
      </w:pPr>
      <w:r>
        <w:rPr>
          <w:rFonts w:eastAsia="SimSun" w:cs="Times New Roman" w:ascii="Times New Roman" w:hAnsi="Times New Roman"/>
          <w:b/>
          <w:bCs/>
          <w:kern w:val="2"/>
          <w:sz w:val="24"/>
          <w:szCs w:val="24"/>
          <w14:ligatures w14:val="none"/>
        </w:rPr>
      </w:r>
    </w:p>
    <w:p>
      <w:pPr>
        <w:pStyle w:val="Normal"/>
        <w:suppressAutoHyphens w:val="true"/>
        <w:spacing w:lineRule="auto" w:line="360" w:before="0" w:after="0"/>
        <w:jc w:val="both"/>
        <w:rPr>
          <w:rFonts w:ascii="Times New Roman" w:hAnsi="Times New Roman" w:eastAsia="SimSun" w:cs="Times New Roman"/>
          <w:b/>
          <w:bCs/>
          <w:kern w:val="2"/>
          <w:sz w:val="24"/>
          <w:szCs w:val="24"/>
          <w14:ligatures w14:val="none"/>
        </w:rPr>
      </w:pPr>
      <w:r>
        <w:rPr>
          <w:rFonts w:eastAsia="SimSun" w:cs="Times New Roman" w:ascii="Times New Roman" w:hAnsi="Times New Roman"/>
          <w:b/>
          <w:bCs/>
          <w:kern w:val="2"/>
          <w:sz w:val="24"/>
          <w:szCs w:val="24"/>
          <w14:ligatures w14:val="none"/>
        </w:rPr>
        <w:t xml:space="preserve">Articolo 2 - Ambito di applicazione e di operatività </w:t>
      </w:r>
    </w:p>
    <w:p>
      <w:pPr>
        <w:pStyle w:val="Normal"/>
        <w:suppressAutoHyphens w:val="true"/>
        <w:spacing w:lineRule="auto" w:line="360" w:before="0" w:after="0"/>
        <w:jc w:val="both"/>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t>L’ambito di applicazione del presente Accordo è limitato esclusivamente alla procedura</w:t>
      </w:r>
      <w:r>
        <w:rPr>
          <w:rFonts w:eastAsia="SimSun" w:cs="Times New Roman" w:ascii="Times New Roman" w:hAnsi="Times New Roman"/>
          <w:i/>
          <w:iCs/>
          <w:color w:val="FF0000"/>
          <w:kern w:val="2"/>
          <w:sz w:val="24"/>
          <w:szCs w:val="24"/>
          <w14:ligatures w14:val="none"/>
        </w:rPr>
        <w:t xml:space="preserve"> </w:t>
      </w:r>
      <w:r>
        <w:rPr>
          <w:rFonts w:eastAsia="SimSun" w:cs="Times New Roman" w:ascii="Times New Roman" w:hAnsi="Times New Roman"/>
          <w:kern w:val="2"/>
          <w:sz w:val="24"/>
          <w:szCs w:val="24"/>
          <w14:ligatures w14:val="none"/>
        </w:rPr>
        <w:t>di cui all’articolo 1.</w:t>
      </w:r>
    </w:p>
    <w:p>
      <w:pPr>
        <w:pStyle w:val="Normal"/>
        <w:suppressAutoHyphens w:val="true"/>
        <w:spacing w:lineRule="auto" w:line="360" w:before="0" w:after="0"/>
        <w:jc w:val="both"/>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r>
    </w:p>
    <w:p>
      <w:pPr>
        <w:pStyle w:val="Normal"/>
        <w:suppressAutoHyphens w:val="true"/>
        <w:spacing w:lineRule="auto" w:line="360" w:before="0" w:after="0"/>
        <w:jc w:val="both"/>
        <w:rPr>
          <w:rFonts w:ascii="Times New Roman" w:hAnsi="Times New Roman" w:eastAsia="SimSun" w:cs="Times New Roman"/>
          <w:b/>
          <w:bCs/>
          <w:kern w:val="2"/>
          <w:sz w:val="24"/>
          <w:szCs w:val="24"/>
          <w14:ligatures w14:val="none"/>
        </w:rPr>
      </w:pPr>
      <w:bookmarkStart w:id="0" w:name="_Hlk193117305"/>
      <w:r>
        <w:rPr>
          <w:rFonts w:eastAsia="SimSun" w:cs="Times New Roman" w:ascii="Times New Roman" w:hAnsi="Times New Roman"/>
          <w:b/>
          <w:bCs/>
          <w:kern w:val="2"/>
          <w:sz w:val="24"/>
          <w:szCs w:val="24"/>
          <w14:ligatures w14:val="none"/>
        </w:rPr>
        <w:t xml:space="preserve">Articolo 3 - Durata </w:t>
      </w:r>
    </w:p>
    <w:p>
      <w:pPr>
        <w:pStyle w:val="Normal"/>
        <w:suppressAutoHyphens w:val="true"/>
        <w:spacing w:lineRule="auto" w:line="360" w:before="0" w:after="0"/>
        <w:jc w:val="both"/>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t>Il presente Accordo ha una dimensione temporale decorrente dalla data di sottoscrizione fino alla conclusione della procedura di gara in oggetto.</w:t>
      </w:r>
    </w:p>
    <w:p>
      <w:pPr>
        <w:pStyle w:val="Normal"/>
        <w:suppressAutoHyphens w:val="true"/>
        <w:spacing w:lineRule="auto" w:line="360" w:before="0" w:after="0"/>
        <w:jc w:val="both"/>
        <w:rPr>
          <w:rFonts w:ascii="Times New Roman" w:hAnsi="Times New Roman" w:eastAsia="SimSun" w:cs="Times New Roman"/>
          <w:kern w:val="2"/>
          <w:sz w:val="24"/>
          <w:szCs w:val="24"/>
          <w14:ligatures w14:val="none"/>
        </w:rPr>
      </w:pPr>
      <w:bookmarkStart w:id="1" w:name="_Hlk193117305"/>
      <w:r>
        <w:rPr>
          <w:rFonts w:eastAsia="SimSun" w:cs="Times New Roman" w:ascii="Times New Roman" w:hAnsi="Times New Roman"/>
          <w:kern w:val="2"/>
          <w:sz w:val="24"/>
          <w:szCs w:val="24"/>
          <w14:ligatures w14:val="none"/>
        </w:rPr>
        <w:t>Il presente Accordo è da ritenersi valido anche in caso di gara deserta o non aggiudicata nel caso in cui il Comune intenda procedere ad una riedizione della medesima procedura.</w:t>
      </w:r>
      <w:bookmarkEnd w:id="1"/>
    </w:p>
    <w:p>
      <w:pPr>
        <w:pStyle w:val="Normal"/>
        <w:suppressAutoHyphens w:val="true"/>
        <w:spacing w:lineRule="auto" w:line="360" w:before="0" w:after="0"/>
        <w:jc w:val="both"/>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r>
    </w:p>
    <w:p>
      <w:pPr>
        <w:pStyle w:val="Normal"/>
        <w:suppressAutoHyphens w:val="true"/>
        <w:spacing w:lineRule="auto" w:line="360" w:before="0" w:after="0"/>
        <w:jc w:val="both"/>
        <w:rPr>
          <w:rFonts w:ascii="Times New Roman" w:hAnsi="Times New Roman" w:eastAsia="SimSun" w:cs="Times New Roman"/>
          <w:b/>
          <w:bCs/>
          <w:kern w:val="2"/>
          <w:sz w:val="24"/>
          <w:szCs w:val="24"/>
          <w14:ligatures w14:val="none"/>
        </w:rPr>
      </w:pPr>
      <w:r>
        <w:rPr>
          <w:rFonts w:eastAsia="SimSun" w:cs="Times New Roman" w:ascii="Times New Roman" w:hAnsi="Times New Roman"/>
          <w:b/>
          <w:bCs/>
          <w:kern w:val="2"/>
          <w:sz w:val="24"/>
          <w:szCs w:val="24"/>
          <w14:ligatures w14:val="none"/>
        </w:rPr>
        <w:t>Articolo 4 - Attività di competenza della CUC</w:t>
      </w:r>
    </w:p>
    <w:p>
      <w:pPr>
        <w:pStyle w:val="Normal"/>
        <w:suppressAutoHyphens w:val="true"/>
        <w:spacing w:lineRule="auto" w:line="360" w:before="0" w:after="0"/>
        <w:jc w:val="both"/>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t>Con riferimento al presente Accordo, la CUC svolge le seguenti funzioni ed attività.</w:t>
      </w:r>
    </w:p>
    <w:p>
      <w:pPr>
        <w:pStyle w:val="Normal"/>
        <w:widowControl w:val="false"/>
        <w:numPr>
          <w:ilvl w:val="0"/>
          <w:numId w:val="13"/>
        </w:numPr>
        <w:tabs>
          <w:tab w:val="clear" w:pos="708"/>
          <w:tab w:val="left" w:pos="-567" w:leader="none"/>
        </w:tabs>
        <w:suppressAutoHyphens w:val="true"/>
        <w:spacing w:lineRule="auto" w:line="360" w:before="0" w:after="0"/>
        <w:ind w:left="284" w:right="43" w:hanging="284"/>
        <w:contextualSpacing/>
        <w:jc w:val="both"/>
        <w:rPr>
          <w:rFonts w:ascii="Times New Roman" w:hAnsi="Times New Roman" w:eastAsia="Times New Roman" w:cs="Times New Roman"/>
          <w:b/>
          <w:bCs/>
          <w:color w:val="231F20"/>
          <w:kern w:val="0"/>
          <w:sz w:val="24"/>
          <w:szCs w:val="24"/>
          <w14:ligatures w14:val="none"/>
        </w:rPr>
      </w:pPr>
      <w:r>
        <w:rPr>
          <w:rFonts w:eastAsia="Times New Roman" w:cs="Times New Roman" w:ascii="Times New Roman" w:hAnsi="Times New Roman"/>
          <w:b/>
          <w:bCs/>
          <w:color w:val="231F20"/>
          <w:kern w:val="0"/>
          <w:sz w:val="24"/>
          <w:szCs w:val="24"/>
          <w14:ligatures w14:val="none"/>
        </w:rPr>
        <w:t>Gestione della fase propedeutica alla procedura di affidamento:</w:t>
      </w:r>
    </w:p>
    <w:p>
      <w:pPr>
        <w:pStyle w:val="Normal"/>
        <w:widowControl w:val="false"/>
        <w:numPr>
          <w:ilvl w:val="0"/>
          <w:numId w:val="14"/>
        </w:numPr>
        <w:tabs>
          <w:tab w:val="clear" w:pos="708"/>
          <w:tab w:val="left" w:pos="1370" w:leader="none"/>
        </w:tabs>
        <w:suppressAutoHyphens w:val="true"/>
        <w:spacing w:lineRule="auto" w:line="360" w:before="0" w:after="0"/>
        <w:ind w:left="714" w:right="45" w:hanging="357"/>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 xml:space="preserve">la verifica preliminare dei progetti e dei capitolati speciali dal punto di vista amministrativo, </w:t>
      </w:r>
      <w:r>
        <w:rPr>
          <w:rFonts w:eastAsia="Times New Roman" w:cs="Times New Roman" w:ascii="Times New Roman" w:hAnsi="Times New Roman"/>
          <w:strike/>
          <w:kern w:val="0"/>
          <w:sz w:val="24"/>
          <w:szCs w:val="24"/>
          <w14:ligatures w14:val="none"/>
        </w:rPr>
        <w:t>e</w:t>
      </w:r>
      <w:r>
        <w:rPr>
          <w:rFonts w:eastAsia="Times New Roman" w:cs="Times New Roman" w:ascii="Times New Roman" w:hAnsi="Times New Roman"/>
          <w:kern w:val="0"/>
          <w:sz w:val="24"/>
          <w:szCs w:val="24"/>
          <w14:ligatures w14:val="none"/>
        </w:rPr>
        <w:t xml:space="preserve"> dello schema contrattuale, dei requisiti di partecipazione, dei criteri di selezione dei concorrenti nelle procedure negoziate, dei criteri di aggiudicazione e della tipologia di procedura di gara che saranno approvati dal </w:t>
      </w:r>
      <w:r>
        <w:rPr>
          <w:rFonts w:eastAsia="Times New Roman" w:cs="Times New Roman" w:ascii="Times New Roman" w:hAnsi="Times New Roman"/>
          <w:kern w:val="2"/>
          <w:sz w:val="24"/>
          <w:szCs w:val="24"/>
          <w14:ligatures w14:val="none"/>
        </w:rPr>
        <w:t>COMUNE,</w:t>
      </w:r>
      <w:r>
        <w:rPr>
          <w:rFonts w:eastAsia="Times New Roman" w:cs="Times New Roman" w:ascii="Times New Roman" w:hAnsi="Times New Roman"/>
          <w:kern w:val="0"/>
          <w:sz w:val="24"/>
          <w:szCs w:val="24"/>
          <w14:ligatures w14:val="none"/>
        </w:rPr>
        <w:t xml:space="preserve"> in contraddittorio e ferma restando la responsabilità</w:t>
      </w:r>
      <w:r>
        <w:rPr>
          <w:rFonts w:eastAsia="SimSun" w:cs="Times New Roman" w:ascii="Times New Roman" w:hAnsi="Times New Roman"/>
          <w:sz w:val="24"/>
          <w:szCs w:val="24"/>
          <w14:ligatures w14:val="none"/>
        </w:rPr>
        <w:t xml:space="preserve"> </w:t>
      </w:r>
      <w:r>
        <w:rPr>
          <w:rFonts w:eastAsia="Times New Roman" w:cs="Times New Roman" w:ascii="Times New Roman" w:hAnsi="Times New Roman"/>
          <w:kern w:val="2"/>
          <w:sz w:val="24"/>
          <w:szCs w:val="24"/>
          <w14:ligatures w14:val="none"/>
        </w:rPr>
        <w:t xml:space="preserve">del COMUNE </w:t>
      </w:r>
      <w:r>
        <w:rPr>
          <w:rFonts w:eastAsia="Times New Roman" w:cs="Times New Roman" w:ascii="Times New Roman" w:hAnsi="Times New Roman"/>
          <w:kern w:val="0"/>
          <w:sz w:val="24"/>
          <w:szCs w:val="24"/>
          <w14:ligatures w14:val="none"/>
        </w:rPr>
        <w:t>stesso relativamente agli ambiti di propria competenza definiti all’articolo 6 del presente Accordo;</w:t>
      </w:r>
    </w:p>
    <w:p>
      <w:pPr>
        <w:pStyle w:val="Normal"/>
        <w:widowControl w:val="false"/>
        <w:numPr>
          <w:ilvl w:val="0"/>
          <w:numId w:val="7"/>
        </w:numPr>
        <w:tabs>
          <w:tab w:val="clear" w:pos="708"/>
          <w:tab w:val="left" w:pos="1370" w:leader="none"/>
        </w:tabs>
        <w:suppressAutoHyphens w:val="true"/>
        <w:spacing w:lineRule="auto" w:line="360" w:before="0" w:after="0"/>
        <w:ind w:left="714" w:right="45" w:hanging="357"/>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in caso di ricorso al criterio dell'offerta economicamente più vantaggiosa, la verifica dei criteri di valutazione delle offerte, inclusi i sub-criteri, i pesi e sub-pesi ponderali, della metodologia di attribuzione dei punteggi nonché della formula di attribuzione del punteggio economico in contraddittorio con i Comuni, ferma restando la loro responsabilità;</w:t>
      </w:r>
    </w:p>
    <w:p>
      <w:pPr>
        <w:pStyle w:val="Normal"/>
        <w:widowControl w:val="false"/>
        <w:numPr>
          <w:ilvl w:val="0"/>
          <w:numId w:val="7"/>
        </w:numPr>
        <w:tabs>
          <w:tab w:val="clear" w:pos="708"/>
          <w:tab w:val="left" w:pos="1370" w:leader="none"/>
        </w:tabs>
        <w:suppressAutoHyphens w:val="true"/>
        <w:spacing w:lineRule="auto" w:line="360" w:before="0" w:after="0"/>
        <w:ind w:left="714" w:right="45" w:hanging="357"/>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qualora la CUC rilevi criticità nella documentazione presentata dal Comune, provvede a segnalarle formalmente al Comune interessato, indicando le modifiche necessarie per garantire la legittimità della procedura;</w:t>
      </w:r>
    </w:p>
    <w:p>
      <w:pPr>
        <w:pStyle w:val="Normal"/>
        <w:widowControl w:val="false"/>
        <w:numPr>
          <w:ilvl w:val="0"/>
          <w:numId w:val="7"/>
        </w:numPr>
        <w:tabs>
          <w:tab w:val="clear" w:pos="708"/>
          <w:tab w:val="left" w:pos="1370" w:leader="none"/>
        </w:tabs>
        <w:suppressAutoHyphens w:val="true"/>
        <w:spacing w:lineRule="auto" w:line="360" w:before="0" w:after="0"/>
        <w:ind w:left="714" w:right="45" w:hanging="357"/>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qualora il Comune, nonostante le indicazioni fornite dalla CUC, intenda procedere con modalità diverse, la CUC si riserva la facoltà di non dare corso alla gara;</w:t>
      </w:r>
    </w:p>
    <w:p>
      <w:pPr>
        <w:pStyle w:val="Normal"/>
        <w:widowControl w:val="false"/>
        <w:numPr>
          <w:ilvl w:val="0"/>
          <w:numId w:val="7"/>
        </w:numPr>
        <w:tabs>
          <w:tab w:val="clear" w:pos="708"/>
          <w:tab w:val="left" w:pos="1370" w:leader="none"/>
        </w:tabs>
        <w:suppressAutoHyphens w:val="true"/>
        <w:spacing w:lineRule="auto" w:line="360" w:before="0" w:after="0"/>
        <w:ind w:left="714" w:right="45" w:hanging="357"/>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l’individuazione degli operatori economici da invitare nelle procedure negoziate secondo le modalità previste dall’art. 50 comma 1, lett. c), d) ed e) del Codice;</w:t>
      </w:r>
    </w:p>
    <w:p>
      <w:pPr>
        <w:pStyle w:val="Normal"/>
        <w:widowControl w:val="false"/>
        <w:numPr>
          <w:ilvl w:val="0"/>
          <w:numId w:val="7"/>
        </w:numPr>
        <w:tabs>
          <w:tab w:val="clear" w:pos="708"/>
          <w:tab w:val="left" w:pos="1370" w:leader="none"/>
        </w:tabs>
        <w:suppressAutoHyphens w:val="true"/>
        <w:spacing w:lineRule="auto" w:line="360" w:before="0" w:after="0"/>
        <w:ind w:left="714" w:right="45" w:hanging="357"/>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 xml:space="preserve"> </w:t>
      </w:r>
      <w:r>
        <w:rPr>
          <w:rFonts w:eastAsia="Times New Roman" w:cs="Times New Roman" w:ascii="Times New Roman" w:hAnsi="Times New Roman"/>
          <w:kern w:val="0"/>
          <w:sz w:val="24"/>
          <w:szCs w:val="24"/>
          <w14:ligatures w14:val="none"/>
        </w:rPr>
        <w:t>la nomina del Responsabile Unico di Progetto della CUC relativamente alle attività di propria competenza ai sensi dell’art. 15, co 9 e 62, co. 13 del Codice.</w:t>
      </w:r>
    </w:p>
    <w:p>
      <w:pPr>
        <w:pStyle w:val="Normal"/>
        <w:tabs>
          <w:tab w:val="clear" w:pos="708"/>
          <w:tab w:val="left" w:pos="1370" w:leader="none"/>
        </w:tabs>
        <w:spacing w:lineRule="auto" w:line="360" w:before="0" w:after="0"/>
        <w:ind w:right="45" w:hanging="0"/>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r>
    </w:p>
    <w:p>
      <w:pPr>
        <w:pStyle w:val="Normal"/>
        <w:widowControl w:val="false"/>
        <w:numPr>
          <w:ilvl w:val="0"/>
          <w:numId w:val="6"/>
        </w:numPr>
        <w:tabs>
          <w:tab w:val="clear" w:pos="708"/>
          <w:tab w:val="left" w:pos="-567" w:leader="none"/>
        </w:tabs>
        <w:suppressAutoHyphens w:val="true"/>
        <w:spacing w:lineRule="auto" w:line="360" w:before="0" w:after="0"/>
        <w:ind w:left="284" w:right="43" w:hanging="284"/>
        <w:contextualSpacing/>
        <w:jc w:val="both"/>
        <w:rPr>
          <w:rFonts w:ascii="Times New Roman" w:hAnsi="Times New Roman" w:eastAsia="Times New Roman" w:cs="Times New Roman"/>
          <w:b/>
          <w:bCs/>
          <w:color w:val="231F20"/>
          <w:kern w:val="0"/>
          <w:sz w:val="24"/>
          <w:szCs w:val="24"/>
          <w14:ligatures w14:val="none"/>
        </w:rPr>
      </w:pPr>
      <w:r>
        <w:rPr>
          <w:rFonts w:eastAsia="Times New Roman" w:cs="Times New Roman" w:ascii="Times New Roman" w:hAnsi="Times New Roman"/>
          <w:b/>
          <w:bCs/>
          <w:color w:val="231F20"/>
          <w:kern w:val="0"/>
          <w:sz w:val="24"/>
          <w:szCs w:val="24"/>
          <w14:ligatures w14:val="none"/>
        </w:rPr>
        <w:t xml:space="preserve">Svolgimento della procedura di affidamento: </w:t>
      </w:r>
    </w:p>
    <w:p>
      <w:pPr>
        <w:pStyle w:val="Normal"/>
        <w:widowControl w:val="false"/>
        <w:numPr>
          <w:ilvl w:val="0"/>
          <w:numId w:val="15"/>
        </w:numPr>
        <w:tabs>
          <w:tab w:val="clear" w:pos="708"/>
          <w:tab w:val="left" w:pos="1360" w:leader="none"/>
        </w:tabs>
        <w:suppressAutoHyphens w:val="true"/>
        <w:spacing w:lineRule="auto" w:line="360" w:before="0" w:after="0"/>
        <w:ind w:left="368" w:right="45" w:hanging="357"/>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la redazione degli atti di gara (bando di gara, disciplinare di gara e lettera invito);</w:t>
      </w:r>
    </w:p>
    <w:p>
      <w:pPr>
        <w:pStyle w:val="Normal"/>
        <w:widowControl w:val="false"/>
        <w:numPr>
          <w:ilvl w:val="0"/>
          <w:numId w:val="8"/>
        </w:numPr>
        <w:tabs>
          <w:tab w:val="clear" w:pos="708"/>
          <w:tab w:val="left" w:pos="1360" w:leader="none"/>
        </w:tabs>
        <w:suppressAutoHyphens w:val="true"/>
        <w:spacing w:lineRule="auto" w:line="360" w:before="0" w:after="0"/>
        <w:ind w:left="368" w:right="45" w:hanging="357"/>
        <w:contextualSpacing/>
        <w:jc w:val="both"/>
        <w:rPr>
          <w:rFonts w:ascii="Times New Roman" w:hAnsi="Times New Roman" w:eastAsia="Times New Roman" w:cs="Times New Roman"/>
          <w:kern w:val="0"/>
          <w:sz w:val="24"/>
          <w:szCs w:val="24"/>
          <w14:ligatures w14:val="none"/>
        </w:rPr>
      </w:pPr>
      <w:bookmarkStart w:id="2" w:name="_Hlk194583433"/>
      <w:r>
        <w:rPr>
          <w:rFonts w:eastAsia="Times New Roman" w:cs="Times New Roman" w:ascii="Times New Roman" w:hAnsi="Times New Roman"/>
          <w:kern w:val="0"/>
          <w:sz w:val="24"/>
          <w:szCs w:val="24"/>
          <w14:ligatures w14:val="none"/>
        </w:rPr>
        <w:t>la pubblicazione dei bandi, degli avvisi di pre-informazione tramite la Banca Dati Nazionale Contratti Pubblici (BDNCP)</w:t>
      </w:r>
      <w:bookmarkEnd w:id="2"/>
      <w:r>
        <w:rPr>
          <w:rFonts w:eastAsia="Times New Roman" w:cs="Times New Roman" w:ascii="Times New Roman" w:hAnsi="Times New Roman"/>
          <w:kern w:val="0"/>
          <w:sz w:val="24"/>
          <w:szCs w:val="24"/>
          <w14:ligatures w14:val="none"/>
        </w:rPr>
        <w:t>;</w:t>
      </w:r>
    </w:p>
    <w:p>
      <w:pPr>
        <w:pStyle w:val="Normal"/>
        <w:widowControl w:val="false"/>
        <w:numPr>
          <w:ilvl w:val="0"/>
          <w:numId w:val="8"/>
        </w:numPr>
        <w:tabs>
          <w:tab w:val="clear" w:pos="708"/>
          <w:tab w:val="left" w:pos="1360" w:leader="none"/>
        </w:tabs>
        <w:suppressAutoHyphens w:val="true"/>
        <w:spacing w:lineRule="auto" w:line="360" w:before="0" w:after="0"/>
        <w:ind w:left="368" w:right="45" w:hanging="357"/>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l’acquisizione del Codice identificativo di gara (“CIG”) mediante compilazione ed invio delle schede predisposte dall’ANAC;</w:t>
      </w:r>
    </w:p>
    <w:p>
      <w:pPr>
        <w:pStyle w:val="Normal"/>
        <w:widowControl w:val="false"/>
        <w:numPr>
          <w:ilvl w:val="0"/>
          <w:numId w:val="8"/>
        </w:numPr>
        <w:tabs>
          <w:tab w:val="clear" w:pos="708"/>
          <w:tab w:val="left" w:pos="1360" w:leader="none"/>
        </w:tabs>
        <w:suppressAutoHyphens w:val="true"/>
        <w:spacing w:lineRule="auto" w:line="360" w:before="0" w:after="0"/>
        <w:ind w:left="368" w:right="45" w:hanging="357"/>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la pubblicazione del bando o l'invio degli inviti nei casi di procedure ristrette e negoziate, di norma entro il termine di 60 giorni dalla data di ricevimento della documentazione completa;</w:t>
      </w:r>
    </w:p>
    <w:p>
      <w:pPr>
        <w:pStyle w:val="Normal"/>
        <w:widowControl w:val="false"/>
        <w:numPr>
          <w:ilvl w:val="0"/>
          <w:numId w:val="8"/>
        </w:numPr>
        <w:tabs>
          <w:tab w:val="clear" w:pos="708"/>
          <w:tab w:val="left" w:pos="1360" w:leader="none"/>
        </w:tabs>
        <w:suppressAutoHyphens w:val="true"/>
        <w:spacing w:lineRule="auto" w:line="360" w:before="0" w:after="0"/>
        <w:ind w:left="368" w:right="45" w:hanging="357"/>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la nomina del Seggio/Autorità di Gara (per il criterio del prezzo più basso) o della Commissione Giudicatrice (per il criterio dell'offerta economicamente più vantaggiosa), secondo quanto previsto dal Codice;</w:t>
      </w:r>
    </w:p>
    <w:p>
      <w:pPr>
        <w:pStyle w:val="Normal"/>
        <w:widowControl w:val="false"/>
        <w:numPr>
          <w:ilvl w:val="0"/>
          <w:numId w:val="8"/>
        </w:numPr>
        <w:tabs>
          <w:tab w:val="clear" w:pos="708"/>
          <w:tab w:val="left" w:pos="1360" w:leader="none"/>
        </w:tabs>
        <w:suppressAutoHyphens w:val="true"/>
        <w:spacing w:lineRule="auto" w:line="360" w:before="0" w:after="0"/>
        <w:ind w:left="368" w:right="45" w:hanging="357"/>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la verifica della congruità, della serietà, della sostenibilità e della realizzabilità dell’offerta a cura del RUP della CUC, ai sensi dell’art. 110, co. 1 del Codice con il supporto del RUP del Comune ovvero, nel caso del criterio dell’offerta economicamente più vantaggiosa, con il supporto della Commissione giudicatrice;</w:t>
      </w:r>
    </w:p>
    <w:p>
      <w:pPr>
        <w:pStyle w:val="Normal"/>
        <w:widowControl w:val="false"/>
        <w:numPr>
          <w:ilvl w:val="0"/>
          <w:numId w:val="8"/>
        </w:numPr>
        <w:tabs>
          <w:tab w:val="clear" w:pos="708"/>
          <w:tab w:val="left" w:pos="1360" w:leader="none"/>
        </w:tabs>
        <w:suppressAutoHyphens w:val="true"/>
        <w:spacing w:lineRule="auto" w:line="360" w:before="0" w:after="0"/>
        <w:ind w:left="368" w:right="45" w:hanging="357"/>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l’acquisizione dell’esito della verifica dell’equivalenza delle tutele del CCNL applicato al personale dell’operatore economico aggiudicatario, a cura del RUP del Comune, ai sensi dell’art. 11, comma 4 del Codice;</w:t>
      </w:r>
    </w:p>
    <w:p>
      <w:pPr>
        <w:pStyle w:val="Normal"/>
        <w:widowControl w:val="false"/>
        <w:numPr>
          <w:ilvl w:val="0"/>
          <w:numId w:val="8"/>
        </w:numPr>
        <w:tabs>
          <w:tab w:val="clear" w:pos="708"/>
          <w:tab w:val="left" w:pos="1360" w:leader="none"/>
        </w:tabs>
        <w:suppressAutoHyphens w:val="true"/>
        <w:spacing w:lineRule="auto" w:line="360" w:before="0" w:after="0"/>
        <w:ind w:left="368" w:right="45" w:hanging="357"/>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le verifiche del possesso dei requisiti di partecipazione dell’aggiudicatario;</w:t>
      </w:r>
    </w:p>
    <w:p>
      <w:pPr>
        <w:pStyle w:val="Normal"/>
        <w:widowControl w:val="false"/>
        <w:numPr>
          <w:ilvl w:val="0"/>
          <w:numId w:val="8"/>
        </w:numPr>
        <w:tabs>
          <w:tab w:val="clear" w:pos="708"/>
          <w:tab w:val="left" w:pos="1360" w:leader="none"/>
        </w:tabs>
        <w:suppressAutoHyphens w:val="true"/>
        <w:spacing w:lineRule="auto" w:line="360" w:before="0" w:after="0"/>
        <w:ind w:left="368" w:hanging="357"/>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 xml:space="preserve">l’aggiudicazione a favore del concorrente per il quale il seggio di gara/autorità di gara o la commissione giudicatrice ha formulato la proposta di aggiudicazione; </w:t>
      </w:r>
    </w:p>
    <w:p>
      <w:pPr>
        <w:pStyle w:val="Normal"/>
        <w:widowControl w:val="false"/>
        <w:numPr>
          <w:ilvl w:val="0"/>
          <w:numId w:val="8"/>
        </w:numPr>
        <w:tabs>
          <w:tab w:val="clear" w:pos="708"/>
          <w:tab w:val="left" w:pos="1360" w:leader="none"/>
        </w:tabs>
        <w:suppressAutoHyphens w:val="true"/>
        <w:spacing w:lineRule="auto" w:line="360" w:before="0" w:after="0"/>
        <w:ind w:left="368" w:right="45" w:hanging="357"/>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la gestione delle comunicazioni di cui all’art. 90, co. 1 del Codice nonché l’invio della documentazione di gara completa al Comune interessato;</w:t>
      </w:r>
    </w:p>
    <w:p>
      <w:pPr>
        <w:pStyle w:val="Normal"/>
        <w:widowControl w:val="false"/>
        <w:numPr>
          <w:ilvl w:val="0"/>
          <w:numId w:val="8"/>
        </w:numPr>
        <w:tabs>
          <w:tab w:val="clear" w:pos="708"/>
          <w:tab w:val="left" w:pos="1360" w:leader="none"/>
        </w:tabs>
        <w:suppressAutoHyphens w:val="true"/>
        <w:spacing w:lineRule="auto" w:line="360" w:before="0" w:after="0"/>
        <w:ind w:left="368" w:right="45" w:hanging="357"/>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gli adempimenti relativi all’accesso agli atti con il supporto del RUP del Comune;</w:t>
      </w:r>
    </w:p>
    <w:p>
      <w:pPr>
        <w:pStyle w:val="Normal"/>
        <w:widowControl w:val="false"/>
        <w:numPr>
          <w:ilvl w:val="0"/>
          <w:numId w:val="8"/>
        </w:numPr>
        <w:tabs>
          <w:tab w:val="clear" w:pos="708"/>
          <w:tab w:val="left" w:pos="1360" w:leader="none"/>
        </w:tabs>
        <w:suppressAutoHyphens w:val="true"/>
        <w:spacing w:lineRule="auto" w:line="360" w:before="0" w:after="0"/>
        <w:ind w:left="368" w:right="45" w:hanging="357"/>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 xml:space="preserve">la pubblicazione degli avvisi relativi agli appalti e concessioni aggiudicati, tramite la BDNCP; </w:t>
      </w:r>
    </w:p>
    <w:p>
      <w:pPr>
        <w:pStyle w:val="Normal"/>
        <w:widowControl w:val="false"/>
        <w:spacing w:lineRule="auto" w:line="360" w:before="0" w:after="0"/>
        <w:ind w:right="43" w:hanging="0"/>
        <w:rPr>
          <w:rFonts w:ascii="Times New Roman" w:hAnsi="Times New Roman" w:eastAsia="Cambria" w:cs="Times New Roman"/>
          <w:kern w:val="0"/>
          <w:sz w:val="24"/>
          <w:szCs w:val="24"/>
          <w14:ligatures w14:val="none"/>
        </w:rPr>
      </w:pPr>
      <w:r>
        <w:rPr>
          <w:rFonts w:eastAsia="Cambria" w:cs="Times New Roman" w:ascii="Times New Roman" w:hAnsi="Times New Roman"/>
          <w:kern w:val="0"/>
          <w:sz w:val="24"/>
          <w:szCs w:val="24"/>
          <w14:ligatures w14:val="none"/>
        </w:rPr>
      </w:r>
    </w:p>
    <w:p>
      <w:pPr>
        <w:pStyle w:val="Normal"/>
        <w:widowControl w:val="false"/>
        <w:numPr>
          <w:ilvl w:val="0"/>
          <w:numId w:val="6"/>
        </w:numPr>
        <w:tabs>
          <w:tab w:val="clear" w:pos="708"/>
          <w:tab w:val="left" w:pos="-567" w:leader="none"/>
        </w:tabs>
        <w:suppressAutoHyphens w:val="true"/>
        <w:spacing w:lineRule="auto" w:line="360" w:before="0" w:after="0"/>
        <w:ind w:left="284" w:right="43" w:hanging="284"/>
        <w:contextualSpacing/>
        <w:jc w:val="both"/>
        <w:rPr>
          <w:rFonts w:ascii="Times New Roman" w:hAnsi="Times New Roman" w:eastAsia="SimSun" w:cs="Times New Roman"/>
          <w:kern w:val="2"/>
          <w:sz w:val="24"/>
          <w:szCs w:val="24"/>
          <w14:ligatures w14:val="none"/>
        </w:rPr>
      </w:pPr>
      <w:bookmarkStart w:id="3" w:name="_Hlk127952307"/>
      <w:bookmarkEnd w:id="3"/>
      <w:r>
        <w:rPr>
          <w:rFonts w:eastAsia="SimSun" w:cs="Times New Roman" w:ascii="Times New Roman" w:hAnsi="Times New Roman"/>
          <w:b/>
          <w:bCs/>
          <w:kern w:val="2"/>
          <w:sz w:val="24"/>
          <w:szCs w:val="24"/>
          <w14:ligatures w14:val="none"/>
        </w:rPr>
        <w:t>Gestione della esecuzione del contratto</w:t>
      </w:r>
    </w:p>
    <w:p>
      <w:pPr>
        <w:pStyle w:val="Normal"/>
        <w:tabs>
          <w:tab w:val="clear" w:pos="708"/>
          <w:tab w:val="left" w:pos="-567" w:leader="none"/>
        </w:tabs>
        <w:spacing w:lineRule="auto" w:line="360" w:before="0" w:after="0"/>
        <w:ind w:left="284" w:right="43" w:hanging="0"/>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Si applica solo ai procedimenti per i quali sia intervenuto uno specifico accordo con il Comune.</w:t>
      </w:r>
    </w:p>
    <w:p>
      <w:pPr>
        <w:pStyle w:val="Normal"/>
        <w:tabs>
          <w:tab w:val="clear" w:pos="708"/>
          <w:tab w:val="left" w:pos="-567" w:leader="none"/>
        </w:tabs>
        <w:spacing w:lineRule="auto" w:line="360" w:before="0" w:after="0"/>
        <w:ind w:left="284" w:right="43" w:hanging="0"/>
        <w:contextualSpacing/>
        <w:jc w:val="both"/>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r>
    </w:p>
    <w:p>
      <w:pPr>
        <w:pStyle w:val="Normal"/>
        <w:widowControl w:val="false"/>
        <w:numPr>
          <w:ilvl w:val="0"/>
          <w:numId w:val="6"/>
        </w:numPr>
        <w:tabs>
          <w:tab w:val="clear" w:pos="708"/>
          <w:tab w:val="left" w:pos="-567" w:leader="none"/>
        </w:tabs>
        <w:suppressAutoHyphens w:val="true"/>
        <w:spacing w:lineRule="auto" w:line="360" w:before="0" w:after="0"/>
        <w:ind w:left="284" w:right="43" w:hanging="284"/>
        <w:contextualSpacing/>
        <w:jc w:val="both"/>
        <w:rPr>
          <w:rFonts w:ascii="Times New Roman" w:hAnsi="Times New Roman" w:eastAsia="SimSun" w:cs="Times New Roman"/>
          <w:kern w:val="2"/>
          <w:sz w:val="24"/>
          <w:szCs w:val="24"/>
          <w14:ligatures w14:val="none"/>
        </w:rPr>
      </w:pPr>
      <w:r>
        <w:rPr>
          <w:rFonts w:eastAsia="Times New Roman" w:cs="Times New Roman" w:ascii="Times New Roman" w:hAnsi="Times New Roman"/>
          <w:b/>
          <w:bCs/>
          <w:color w:val="231F20"/>
          <w:kern w:val="0"/>
          <w:sz w:val="24"/>
          <w:szCs w:val="24"/>
          <w14:ligatures w14:val="none"/>
        </w:rPr>
        <w:t>Gestione del contenzioso.</w:t>
      </w:r>
    </w:p>
    <w:p>
      <w:pPr>
        <w:pStyle w:val="Normal"/>
        <w:tabs>
          <w:tab w:val="clear" w:pos="708"/>
          <w:tab w:val="left" w:pos="-567" w:leader="none"/>
        </w:tabs>
        <w:spacing w:lineRule="auto" w:line="360" w:before="0" w:after="0"/>
        <w:ind w:left="284" w:right="43" w:hanging="0"/>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color w:val="231F20"/>
          <w:kern w:val="0"/>
          <w:sz w:val="24"/>
          <w:szCs w:val="24"/>
          <w14:ligatures w14:val="none"/>
        </w:rPr>
        <w:t>1.</w:t>
        <w:tab/>
      </w:r>
      <w:r>
        <w:rPr>
          <w:rFonts w:eastAsia="Times New Roman" w:cs="Times New Roman" w:ascii="Times New Roman" w:hAnsi="Times New Roman"/>
          <w:kern w:val="0"/>
          <w:sz w:val="24"/>
          <w:szCs w:val="24"/>
          <w14:ligatures w14:val="none"/>
        </w:rPr>
        <w:t>In caso di contenzioso, la CUC provvederà alla difesa in giudizio degli atti di competenza della Provincia, avvalendosi degli avvocati dell’Avvocatura provinciale o di un legale appositamente nominato; il Comune potrà, in ogni caso, nominare un proprio legale di fiducia.</w:t>
      </w:r>
    </w:p>
    <w:p>
      <w:pPr>
        <w:pStyle w:val="Normal"/>
        <w:tabs>
          <w:tab w:val="clear" w:pos="708"/>
          <w:tab w:val="left" w:pos="-567" w:leader="none"/>
        </w:tabs>
        <w:spacing w:lineRule="auto" w:line="360" w:before="0" w:after="0"/>
        <w:ind w:left="284" w:right="43" w:hanging="0"/>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2.</w:t>
        <w:tab/>
        <w:t xml:space="preserve">In caso di condanna al risarcimento del danno all’esito del contenzioso, la Provincia e il Comune sono obbligati in solido nei confronti del danneggiato, fatta salva la possibilità di rivalsa per i fatti imputabili direttamente a ciascuno dei due Enti e la denuncia del sinistro alla compagnia assicuratrice titolare di apposito contratto. </w:t>
      </w:r>
    </w:p>
    <w:p>
      <w:pPr>
        <w:pStyle w:val="Normal"/>
        <w:tabs>
          <w:tab w:val="clear" w:pos="708"/>
          <w:tab w:val="left" w:pos="-567" w:leader="none"/>
        </w:tabs>
        <w:spacing w:lineRule="auto" w:line="360" w:before="0" w:after="0"/>
        <w:ind w:left="284" w:right="43" w:hanging="0"/>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3.</w:t>
        <w:tab/>
        <w:t>Qualora nel corso del contenzioso emergano criticità, segnalate dai legali incaricati, che rendano opportuno l’annullamento in autotutela dell’intera gara o di singoli atti della procedura, la CUC è tenuta a darne comunicazione tempestiva al Comune. Il Comune, ricevuta la comunicazione, ha facoltà di presentare le proprie controdeduzioni entro il termine di 10 (dieci) giorni, proponendo eventuali soluzioni alternative all'annullamento. Qualora la CUC ed i legali incaricati dalla stessa valutino non percorribili le soluzioni alternative proposte, e il Comune intenda comunque conservare gli effetti della gara e procedere nel contenzioso, il Comune si assumerà formalmente ogni responsabilità connessa all’esito dello stesso, con espressa manleva della CUC in caso di condanna al risarcimento del danno.</w:t>
      </w:r>
    </w:p>
    <w:p>
      <w:pPr>
        <w:pStyle w:val="Normal"/>
        <w:tabs>
          <w:tab w:val="clear" w:pos="708"/>
          <w:tab w:val="left" w:pos="-567" w:leader="none"/>
        </w:tabs>
        <w:spacing w:lineRule="auto" w:line="360" w:before="0" w:after="0"/>
        <w:ind w:left="284" w:right="43" w:hanging="0"/>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4.</w:t>
        <w:tab/>
        <w:t xml:space="preserve">Qualora nel corso del contenzioso emergano criticità, segnalate dal Comune, che rendano opportuno l’annullamento in autotutela dell’intera gara o di singoli atti della procedura, il Comune stesso è tenuto </w:t>
      </w:r>
      <w:bookmarkStart w:id="4" w:name="_Hlk195179326"/>
      <w:r>
        <w:rPr>
          <w:rFonts w:eastAsia="Times New Roman" w:cs="Times New Roman" w:ascii="Times New Roman" w:hAnsi="Times New Roman"/>
          <w:kern w:val="0"/>
          <w:sz w:val="24"/>
          <w:szCs w:val="24"/>
          <w14:ligatures w14:val="none"/>
        </w:rPr>
        <w:t xml:space="preserve">a darne comunicazione tempestiva </w:t>
      </w:r>
      <w:bookmarkEnd w:id="4"/>
      <w:r>
        <w:rPr>
          <w:rFonts w:eastAsia="Times New Roman" w:cs="Times New Roman" w:ascii="Times New Roman" w:hAnsi="Times New Roman"/>
          <w:kern w:val="0"/>
          <w:sz w:val="24"/>
          <w:szCs w:val="24"/>
          <w14:ligatures w14:val="none"/>
        </w:rPr>
        <w:t>alla CUC. La CUC, ricevuta la comunicazione, ha facoltà di presentare le proprie controdeduzioni entro il termine di 10 (dieci) giorni, proponendo eventuali soluzioni alternative all'annullamento. Qualora il Comune ed i legali incaricati dallo stesso valutino non percorribili le soluzioni alternative proposte, e la CUC intenda comunque conservare gli effetti della gara e procedere nel contenzioso, la CUC si assumerà formalmente ogni responsabilità connessa all’esito dello stesso, con espressa manleva del Comune in caso di condanna al risarcimento del danno.</w:t>
      </w:r>
    </w:p>
    <w:p>
      <w:pPr>
        <w:pStyle w:val="Normal"/>
        <w:tabs>
          <w:tab w:val="clear" w:pos="708"/>
          <w:tab w:val="left" w:pos="-567" w:leader="none"/>
        </w:tabs>
        <w:spacing w:lineRule="auto" w:line="360" w:before="0" w:after="0"/>
        <w:ind w:left="284" w:right="43" w:hanging="0"/>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r>
      <w:bookmarkStart w:id="5" w:name="_Hlk127952307"/>
      <w:bookmarkStart w:id="6" w:name="_Hlk127952307"/>
      <w:bookmarkEnd w:id="6"/>
    </w:p>
    <w:p>
      <w:pPr>
        <w:pStyle w:val="Normal"/>
        <w:keepNext w:val="true"/>
        <w:widowControl w:val="false"/>
        <w:numPr>
          <w:ilvl w:val="0"/>
          <w:numId w:val="0"/>
        </w:numPr>
        <w:tabs>
          <w:tab w:val="clear" w:pos="708"/>
          <w:tab w:val="left" w:pos="220" w:leader="none"/>
          <w:tab w:val="left" w:pos="720" w:leader="none"/>
        </w:tabs>
        <w:spacing w:lineRule="auto" w:line="360" w:before="0" w:after="0"/>
        <w:jc w:val="both"/>
        <w:outlineLvl w:val="1"/>
        <w:rPr>
          <w:rFonts w:ascii="Times New Roman" w:hAnsi="Times New Roman" w:eastAsia="Times New Roman" w:cs="Times New Roman"/>
          <w:b/>
          <w:bCs/>
          <w:color w:val="000000"/>
          <w:kern w:val="0"/>
          <w:sz w:val="24"/>
          <w:szCs w:val="24"/>
          <w14:ligatures w14:val="none"/>
        </w:rPr>
      </w:pPr>
      <w:r>
        <w:rPr>
          <w:rFonts w:eastAsia="Times New Roman" w:cs="Times New Roman" w:ascii="Times New Roman" w:hAnsi="Times New Roman"/>
          <w:b/>
          <w:bCs/>
          <w:color w:val="000000"/>
          <w:kern w:val="0"/>
          <w:sz w:val="24"/>
          <w:szCs w:val="24"/>
          <w14:ligatures w14:val="none"/>
        </w:rPr>
        <w:t xml:space="preserve">Articolo 5 - Funzioni e attività ulteriori svolte dalla CUC </w:t>
      </w:r>
    </w:p>
    <w:p>
      <w:pPr>
        <w:pStyle w:val="Normal"/>
        <w:suppressAutoHyphens w:val="true"/>
        <w:spacing w:lineRule="auto" w:line="360" w:before="0" w:after="0"/>
        <w:jc w:val="both"/>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t>Le ulteriori funzioni ed attività complementari finalizzate a ottimizzare l’affidamento in oggetto sono stabilite dall’articolo 8 del “Regolamento di organizzazione sul funzionamento della Centrale Unica di Committenza “Area Vasta Brescia”.</w:t>
      </w:r>
    </w:p>
    <w:p>
      <w:pPr>
        <w:pStyle w:val="Normal"/>
        <w:suppressAutoHyphens w:val="true"/>
        <w:spacing w:lineRule="auto" w:line="360" w:before="0" w:after="0"/>
        <w:jc w:val="both"/>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r>
    </w:p>
    <w:p>
      <w:pPr>
        <w:pStyle w:val="Normal"/>
        <w:keepNext w:val="true"/>
        <w:widowControl w:val="false"/>
        <w:numPr>
          <w:ilvl w:val="0"/>
          <w:numId w:val="0"/>
        </w:numPr>
        <w:tabs>
          <w:tab w:val="clear" w:pos="708"/>
          <w:tab w:val="left" w:pos="220" w:leader="none"/>
          <w:tab w:val="left" w:pos="720" w:leader="none"/>
        </w:tabs>
        <w:spacing w:lineRule="auto" w:line="360" w:before="0" w:after="0"/>
        <w:jc w:val="both"/>
        <w:outlineLvl w:val="1"/>
        <w:rPr>
          <w:rFonts w:ascii="Times New Roman" w:hAnsi="Times New Roman" w:eastAsia="Times New Roman" w:cs="Times New Roman"/>
          <w:b/>
          <w:bCs/>
          <w:kern w:val="2"/>
          <w:sz w:val="24"/>
          <w:szCs w:val="24"/>
          <w14:ligatures w14:val="none"/>
        </w:rPr>
      </w:pPr>
      <w:r>
        <w:rPr>
          <w:rFonts w:eastAsia="Times New Roman" w:cs="Times New Roman" w:ascii="Times New Roman" w:hAnsi="Times New Roman"/>
          <w:b/>
          <w:bCs/>
          <w:color w:val="000000"/>
          <w:kern w:val="0"/>
          <w:sz w:val="24"/>
          <w:szCs w:val="24"/>
          <w14:ligatures w14:val="none"/>
        </w:rPr>
        <w:t xml:space="preserve">Articolo 6 - Attività di competenza </w:t>
      </w:r>
      <w:r>
        <w:rPr>
          <w:rFonts w:eastAsia="Times New Roman" w:cs="Times New Roman" w:ascii="Times New Roman" w:hAnsi="Times New Roman"/>
          <w:b/>
          <w:bCs/>
          <w:kern w:val="2"/>
          <w:sz w:val="24"/>
          <w:szCs w:val="24"/>
          <w14:ligatures w14:val="none"/>
        </w:rPr>
        <w:t>del COMUNE</w:t>
      </w:r>
    </w:p>
    <w:p>
      <w:pPr>
        <w:pStyle w:val="ListParagraph"/>
        <w:numPr>
          <w:ilvl w:val="0"/>
          <w:numId w:val="11"/>
        </w:numPr>
        <w:tabs>
          <w:tab w:val="clear" w:pos="708"/>
          <w:tab w:val="left" w:pos="-567" w:leader="none"/>
        </w:tabs>
        <w:spacing w:lineRule="auto" w:line="360" w:before="0" w:after="0"/>
        <w:ind w:left="360" w:right="43" w:hanging="360"/>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Il Comune approva integralmente il presente accordo e si impegna a recepire tempestivamente e, comunque, entro 30 (trenta) giorni dalla sua sottoscrizione, i contenuti ad efficacia regolamentare nei propri regolamenti anche per quanto concerne il riconoscimento degli incentivi per le funzioni tecniche a favore del personale della CUC. La presente disposizione ha valore di condizione sospensiva ai sensi dell’art. 1353 del codice civile.</w:t>
      </w:r>
    </w:p>
    <w:p>
      <w:pPr>
        <w:pStyle w:val="ListParagraph"/>
        <w:numPr>
          <w:ilvl w:val="0"/>
          <w:numId w:val="11"/>
        </w:numPr>
        <w:tabs>
          <w:tab w:val="clear" w:pos="708"/>
          <w:tab w:val="left" w:pos="-567" w:leader="none"/>
        </w:tabs>
        <w:spacing w:lineRule="auto" w:line="360" w:before="0" w:after="0"/>
        <w:ind w:left="360" w:right="43" w:hanging="360"/>
        <w:contextualSpacing/>
        <w:jc w:val="both"/>
        <w:rPr>
          <w:rFonts w:ascii="Times New Roman" w:hAnsi="Times New Roman" w:eastAsia="Times New Roman" w:cs="Times New Roman"/>
          <w:kern w:val="0"/>
          <w:sz w:val="24"/>
          <w:szCs w:val="24"/>
          <w14:ligatures w14:val="none"/>
        </w:rPr>
      </w:pPr>
      <w:r>
        <w:rPr>
          <w:rFonts w:eastAsia="SimSun" w:cs="Times New Roman" w:ascii="Times New Roman" w:hAnsi="Times New Roman"/>
          <w:kern w:val="2"/>
          <w:sz w:val="24"/>
          <w:szCs w:val="24"/>
          <w14:ligatures w14:val="none"/>
        </w:rPr>
        <w:t>È di competenza del Comune l’approvazione dei programmi annuali e pluriennali previsti dall’articolo 37 del Codice.</w:t>
      </w:r>
    </w:p>
    <w:p>
      <w:pPr>
        <w:pStyle w:val="ListParagraph"/>
        <w:numPr>
          <w:ilvl w:val="0"/>
          <w:numId w:val="11"/>
        </w:numPr>
        <w:tabs>
          <w:tab w:val="clear" w:pos="708"/>
          <w:tab w:val="left" w:pos="-567" w:leader="none"/>
        </w:tabs>
        <w:spacing w:lineRule="auto" w:line="360" w:before="0" w:after="0"/>
        <w:ind w:left="360" w:right="43" w:hanging="360"/>
        <w:contextualSpacing/>
        <w:jc w:val="both"/>
        <w:rPr>
          <w:rFonts w:ascii="Times New Roman" w:hAnsi="Times New Roman" w:eastAsia="Times New Roman" w:cs="Times New Roman"/>
          <w:kern w:val="0"/>
          <w:sz w:val="24"/>
          <w:szCs w:val="24"/>
          <w14:ligatures w14:val="none"/>
        </w:rPr>
      </w:pPr>
      <w:r>
        <w:rPr>
          <w:rFonts w:eastAsia="SimSun" w:cs="Times New Roman" w:ascii="Times New Roman" w:hAnsi="Times New Roman"/>
          <w:kern w:val="2"/>
          <w:sz w:val="24"/>
          <w:szCs w:val="24"/>
          <w14:ligatures w14:val="none"/>
        </w:rPr>
        <w:t>Sono di competenza del COMUNE le seguenti attività:</w:t>
      </w:r>
    </w:p>
    <w:p>
      <w:pPr>
        <w:pStyle w:val="Normal"/>
        <w:widowControl w:val="false"/>
        <w:numPr>
          <w:ilvl w:val="0"/>
          <w:numId w:val="16"/>
        </w:numPr>
        <w:suppressAutoHyphens w:val="true"/>
        <w:spacing w:lineRule="auto" w:line="360" w:before="0" w:after="120"/>
        <w:ind w:left="851" w:right="45" w:hanging="425"/>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la nomina la nomina del Responsabile Unico del Progetto ai sensi dell’art. 15 del Codice;</w:t>
      </w:r>
    </w:p>
    <w:p>
      <w:pPr>
        <w:pStyle w:val="Normal"/>
        <w:widowControl w:val="false"/>
        <w:numPr>
          <w:ilvl w:val="0"/>
          <w:numId w:val="9"/>
        </w:numPr>
        <w:suppressAutoHyphens w:val="true"/>
        <w:spacing w:lineRule="auto" w:line="360" w:before="0" w:after="0"/>
        <w:ind w:left="851" w:right="45" w:hanging="425"/>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l’acquisizione del Codice Unico di Progetto;</w:t>
      </w:r>
    </w:p>
    <w:p>
      <w:pPr>
        <w:pStyle w:val="Normal"/>
        <w:widowControl w:val="false"/>
        <w:numPr>
          <w:ilvl w:val="0"/>
          <w:numId w:val="9"/>
        </w:numPr>
        <w:suppressAutoHyphens w:val="true"/>
        <w:spacing w:lineRule="auto" w:line="360" w:before="0" w:after="0"/>
        <w:ind w:left="851" w:right="45" w:hanging="425"/>
        <w:contextualSpacing/>
        <w:jc w:val="both"/>
        <w:rPr>
          <w:rFonts w:ascii="Times New Roman" w:hAnsi="Times New Roman" w:eastAsia="Times New Roman" w:cs="Times New Roman"/>
          <w:color w:val="000000"/>
          <w:kern w:val="0"/>
          <w:sz w:val="24"/>
          <w:szCs w:val="24"/>
          <w14:ligatures w14:val="none"/>
        </w:rPr>
      </w:pPr>
      <w:r>
        <w:rPr>
          <w:rFonts w:eastAsia="Times New Roman" w:cs="Times New Roman" w:ascii="Times New Roman" w:hAnsi="Times New Roman"/>
          <w:kern w:val="0"/>
          <w:sz w:val="24"/>
          <w:szCs w:val="24"/>
          <w14:ligatures w14:val="none"/>
        </w:rPr>
        <w:t xml:space="preserve">l’individuazione delle fonti di finanziamento per le prestazioni e gli oneri procedurali (inclusi eventuali compensi per gli </w:t>
      </w:r>
      <w:r>
        <w:rPr>
          <w:rFonts w:eastAsia="Times New Roman" w:cs="Times New Roman" w:ascii="Times New Roman" w:hAnsi="Times New Roman"/>
          <w:color w:val="000000"/>
          <w:kern w:val="0"/>
          <w:sz w:val="24"/>
          <w:szCs w:val="24"/>
          <w14:ligatures w14:val="none"/>
        </w:rPr>
        <w:t>esperti esterni delle Commissioni giudicatrici);</w:t>
      </w:r>
    </w:p>
    <w:p>
      <w:pPr>
        <w:pStyle w:val="Normal"/>
        <w:widowControl w:val="false"/>
        <w:numPr>
          <w:ilvl w:val="0"/>
          <w:numId w:val="9"/>
        </w:numPr>
        <w:suppressAutoHyphens w:val="true"/>
        <w:spacing w:lineRule="auto" w:line="360" w:before="0" w:after="0"/>
        <w:ind w:left="851" w:right="45" w:hanging="425"/>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color w:val="000000"/>
          <w:kern w:val="0"/>
          <w:sz w:val="24"/>
          <w:szCs w:val="24"/>
          <w14:ligatures w14:val="none"/>
        </w:rPr>
        <w:t xml:space="preserve">l’approvazione del progetto fino alla fase esecutiva </w:t>
      </w:r>
      <w:r>
        <w:rPr>
          <w:rFonts w:eastAsia="Times New Roman" w:cs="Times New Roman" w:ascii="Times New Roman" w:hAnsi="Times New Roman"/>
          <w:kern w:val="0"/>
          <w:sz w:val="24"/>
          <w:szCs w:val="24"/>
          <w14:ligatures w14:val="none"/>
        </w:rPr>
        <w:t>o a quella necessaria alla procedura di gara ed invio alla CUC della documentazione progettuale completa;</w:t>
      </w:r>
    </w:p>
    <w:p>
      <w:pPr>
        <w:pStyle w:val="Normal"/>
        <w:widowControl w:val="false"/>
        <w:numPr>
          <w:ilvl w:val="0"/>
          <w:numId w:val="9"/>
        </w:numPr>
        <w:suppressAutoHyphens w:val="true"/>
        <w:spacing w:lineRule="auto" w:line="360" w:before="0" w:after="0"/>
        <w:ind w:left="851" w:right="45" w:hanging="425"/>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la definizione dell’oggetto contrattuale (lavori, servizi, forniture);</w:t>
      </w:r>
    </w:p>
    <w:p>
      <w:pPr>
        <w:pStyle w:val="Normal"/>
        <w:widowControl w:val="false"/>
        <w:numPr>
          <w:ilvl w:val="0"/>
          <w:numId w:val="9"/>
        </w:numPr>
        <w:suppressAutoHyphens w:val="true"/>
        <w:spacing w:lineRule="auto" w:line="360" w:before="120" w:after="0"/>
        <w:ind w:left="851" w:right="45" w:hanging="425"/>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l’adozione della determinazione a contrarre, secondo gli schemi proposti dalla CUC, con la quale, tra l’altro:</w:t>
      </w:r>
    </w:p>
    <w:p>
      <w:pPr>
        <w:pStyle w:val="Normal"/>
        <w:widowControl w:val="false"/>
        <w:numPr>
          <w:ilvl w:val="0"/>
          <w:numId w:val="17"/>
        </w:numPr>
        <w:suppressAutoHyphens w:val="true"/>
        <w:spacing w:lineRule="auto" w:line="360" w:before="0" w:after="120"/>
        <w:ind w:left="1276" w:right="45" w:hanging="425"/>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individua il criterio di selezione dei concorrenti da invitare nella procedura negoziata;</w:t>
      </w:r>
    </w:p>
    <w:p>
      <w:pPr>
        <w:pStyle w:val="Normal"/>
        <w:widowControl w:val="false"/>
        <w:numPr>
          <w:ilvl w:val="0"/>
          <w:numId w:val="10"/>
        </w:numPr>
        <w:suppressAutoHyphens w:val="true"/>
        <w:spacing w:lineRule="auto" w:line="360" w:before="0" w:after="0"/>
        <w:ind w:left="1276" w:right="45" w:hanging="425"/>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color w:val="000000"/>
          <w:kern w:val="0"/>
          <w:sz w:val="24"/>
          <w:szCs w:val="24"/>
          <w14:ligatures w14:val="none"/>
        </w:rPr>
        <w:t xml:space="preserve">approva i documenti di gara </w:t>
      </w:r>
      <w:r>
        <w:rPr>
          <w:rFonts w:eastAsia="Times New Roman" w:cs="Times New Roman" w:ascii="Times New Roman" w:hAnsi="Times New Roman"/>
          <w:kern w:val="0"/>
          <w:sz w:val="24"/>
          <w:szCs w:val="24"/>
          <w14:ligatures w14:val="none"/>
        </w:rPr>
        <w:t>(a titolo esemplificativo: elaborati progettuali, capitolato speciale d’appalto, schema di contratto, criteri di valutazione delle offerte e i requisiti di partecipazione)</w:t>
      </w:r>
      <w:r>
        <w:rPr>
          <w:rFonts w:eastAsia="SimSun" w:cs="Times New Roman" w:ascii="Times New Roman" w:hAnsi="Times New Roman"/>
          <w:kern w:val="2"/>
          <w:sz w:val="24"/>
          <w:szCs w:val="24"/>
          <w14:ligatures w14:val="none"/>
        </w:rPr>
        <w:t>;</w:t>
      </w:r>
    </w:p>
    <w:p>
      <w:pPr>
        <w:pStyle w:val="Normal"/>
        <w:widowControl w:val="false"/>
        <w:numPr>
          <w:ilvl w:val="0"/>
          <w:numId w:val="10"/>
        </w:numPr>
        <w:suppressAutoHyphens w:val="true"/>
        <w:spacing w:lineRule="auto" w:line="360" w:before="0" w:after="0"/>
        <w:ind w:left="1276" w:right="45" w:hanging="425"/>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formalizza gli impegni di spesa relativi:</w:t>
      </w:r>
    </w:p>
    <w:p>
      <w:pPr>
        <w:pStyle w:val="Normal"/>
        <w:spacing w:lineRule="auto" w:line="360" w:before="0" w:after="0"/>
        <w:ind w:left="1276" w:right="45" w:hanging="142"/>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 al rimborso alla CUC delle spese di pubblicazione e contributo ANAC;</w:t>
      </w:r>
    </w:p>
    <w:p>
      <w:pPr>
        <w:pStyle w:val="Normal"/>
        <w:spacing w:lineRule="auto" w:line="360" w:before="0" w:after="0"/>
        <w:ind w:left="1276" w:right="45" w:hanging="142"/>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 all’eventuale compenso spettante ai commissari di gara qualora trattasi di soggetti esterni;</w:t>
      </w:r>
      <w:bookmarkStart w:id="7" w:name="_Hlk147840418"/>
    </w:p>
    <w:p>
      <w:pPr>
        <w:pStyle w:val="Normal"/>
        <w:spacing w:lineRule="auto" w:line="360" w:before="0" w:after="0"/>
        <w:ind w:left="1276" w:right="45" w:hanging="142"/>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 all’incentivo per le funzioni tecniche a favore del personale della CUC, ai sensi dell’articolo 45 co. 8 del Codice (pari al 20% dell’incentivo previsto dall’art. 45, comma 2 del Codice, oltre alla quota di cui al comma 5 del medesimo articolo);</w:t>
      </w:r>
    </w:p>
    <w:p>
      <w:pPr>
        <w:pStyle w:val="Normal"/>
        <w:widowControl w:val="false"/>
        <w:spacing w:lineRule="auto" w:line="240" w:before="120" w:after="0"/>
        <w:ind w:left="1560" w:right="45" w:hanging="0"/>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r>
      <w:bookmarkEnd w:id="7"/>
    </w:p>
    <w:p>
      <w:pPr>
        <w:pStyle w:val="Normal"/>
        <w:widowControl w:val="false"/>
        <w:numPr>
          <w:ilvl w:val="0"/>
          <w:numId w:val="9"/>
        </w:numPr>
        <w:suppressAutoHyphens w:val="true"/>
        <w:spacing w:lineRule="auto" w:line="360" w:before="0" w:after="120"/>
        <w:ind w:left="851" w:right="45" w:hanging="425"/>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la verifica preliminare, da parte del RUP, del bando/disciplinare/lettera di invito predisposti dalla CUC;</w:t>
      </w:r>
    </w:p>
    <w:p>
      <w:pPr>
        <w:pStyle w:val="Normal"/>
        <w:widowControl w:val="false"/>
        <w:numPr>
          <w:ilvl w:val="0"/>
          <w:numId w:val="9"/>
        </w:numPr>
        <w:suppressAutoHyphens w:val="true"/>
        <w:spacing w:lineRule="auto" w:line="360" w:before="0" w:after="120"/>
        <w:ind w:left="851" w:right="45" w:hanging="425"/>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la designazione, al termine della fase amministrativa di gara, dei componenti esperti della Commissione giudicatrice, anche attingendo da elenchi di candidati che saranno messi a disposizione dalla CUC ed articolati secondo categorie merceologiche definite congiuntamente con i Comuni;</w:t>
      </w:r>
    </w:p>
    <w:p>
      <w:pPr>
        <w:pStyle w:val="Normal"/>
        <w:widowControl w:val="false"/>
        <w:numPr>
          <w:ilvl w:val="0"/>
          <w:numId w:val="9"/>
        </w:numPr>
        <w:suppressAutoHyphens w:val="true"/>
        <w:spacing w:lineRule="auto" w:line="360" w:before="0" w:after="120"/>
        <w:ind w:left="851" w:right="45" w:hanging="425"/>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il supporto del RUP alla verifica della congruità, della serietà, della sostenibilità e della realizzabilità dell’offerta, ai sensi dell’art. 110, co. 1 del Codice ad opera del RUP della CUC;</w:t>
      </w:r>
    </w:p>
    <w:p>
      <w:pPr>
        <w:pStyle w:val="Normal"/>
        <w:widowControl w:val="false"/>
        <w:numPr>
          <w:ilvl w:val="0"/>
          <w:numId w:val="9"/>
        </w:numPr>
        <w:suppressAutoHyphens w:val="true"/>
        <w:spacing w:lineRule="auto" w:line="360" w:before="0" w:after="120"/>
        <w:ind w:left="851" w:right="45" w:hanging="425"/>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l’individuazione del CCNL applicabile nonché la verifica, da parte del RUP, dell’equivalenza delle tutele del CCNL applicato al personale dell’operatore economico aggiudicatario, ai sensi dell’art. 11, comma 4 del Codice;</w:t>
      </w:r>
    </w:p>
    <w:p>
      <w:pPr>
        <w:pStyle w:val="Normal"/>
        <w:widowControl w:val="false"/>
        <w:numPr>
          <w:ilvl w:val="0"/>
          <w:numId w:val="9"/>
        </w:numPr>
        <w:suppressAutoHyphens w:val="true"/>
        <w:spacing w:lineRule="auto" w:line="360" w:before="0" w:after="120"/>
        <w:ind w:left="851" w:right="45" w:hanging="425"/>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il supporto da parte del RUP alla CUC ai fini dell’accesso agli atti;</w:t>
      </w:r>
    </w:p>
    <w:p>
      <w:pPr>
        <w:pStyle w:val="Normal"/>
        <w:widowControl w:val="false"/>
        <w:numPr>
          <w:ilvl w:val="0"/>
          <w:numId w:val="9"/>
        </w:numPr>
        <w:suppressAutoHyphens w:val="true"/>
        <w:spacing w:lineRule="auto" w:line="360" w:before="0" w:after="120"/>
        <w:ind w:left="851" w:right="45" w:hanging="425"/>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la presa d’atto del provvedimento di aggiudicazione adottato dalla CUC;</w:t>
      </w:r>
    </w:p>
    <w:p>
      <w:pPr>
        <w:pStyle w:val="Normal"/>
        <w:widowControl w:val="false"/>
        <w:numPr>
          <w:ilvl w:val="0"/>
          <w:numId w:val="9"/>
        </w:numPr>
        <w:suppressAutoHyphens w:val="true"/>
        <w:spacing w:lineRule="auto" w:line="360" w:before="0" w:after="120"/>
        <w:ind w:left="851" w:right="45" w:hanging="425"/>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la pubblicazione sul sito istituzionale degli atti relativi alla fase esecutiva, conformemente alle indicazioni fornite dall’ANAC;</w:t>
      </w:r>
    </w:p>
    <w:p>
      <w:pPr>
        <w:pStyle w:val="Normal"/>
        <w:widowControl w:val="false"/>
        <w:numPr>
          <w:ilvl w:val="0"/>
          <w:numId w:val="9"/>
        </w:numPr>
        <w:suppressAutoHyphens w:val="true"/>
        <w:spacing w:lineRule="auto" w:line="360" w:before="0" w:after="120"/>
        <w:ind w:left="851" w:right="45" w:hanging="425"/>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le comunicazioni alla BDNCP, tramite la PAD, delle informazioni inerenti la fase esecutiva del contratto;</w:t>
      </w:r>
    </w:p>
    <w:p>
      <w:pPr>
        <w:pStyle w:val="Normal"/>
        <w:widowControl w:val="false"/>
        <w:numPr>
          <w:ilvl w:val="0"/>
          <w:numId w:val="9"/>
        </w:numPr>
        <w:suppressAutoHyphens w:val="true"/>
        <w:spacing w:lineRule="auto" w:line="360" w:before="0" w:after="120"/>
        <w:ind w:left="851" w:right="45" w:hanging="425"/>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t>la gestione della fase di esecuzione contrattuale, inclusa la stipula del contratto, la consegna, il collaudo, la contabilità e i pagamenti corrispettivi;</w:t>
      </w:r>
    </w:p>
    <w:p>
      <w:pPr>
        <w:pStyle w:val="Normal"/>
        <w:widowControl w:val="false"/>
        <w:suppressAutoHyphens w:val="true"/>
        <w:spacing w:lineRule="auto" w:line="360" w:before="0" w:after="0"/>
        <w:ind w:left="1134" w:right="45" w:hanging="0"/>
        <w:contextualSpacing/>
        <w:jc w:val="both"/>
        <w:rPr>
          <w:rFonts w:ascii="Times New Roman" w:hAnsi="Times New Roman" w:eastAsia="Times New Roman" w:cs="Times New Roman"/>
          <w:kern w:val="0"/>
          <w:sz w:val="24"/>
          <w:szCs w:val="24"/>
          <w14:ligatures w14:val="none"/>
        </w:rPr>
      </w:pPr>
      <w:r>
        <w:rPr>
          <w:rFonts w:eastAsia="Times New Roman" w:cs="Times New Roman" w:ascii="Times New Roman" w:hAnsi="Times New Roman"/>
          <w:kern w:val="0"/>
          <w:sz w:val="24"/>
          <w:szCs w:val="24"/>
          <w14:ligatures w14:val="none"/>
        </w:rPr>
      </w:r>
    </w:p>
    <w:p>
      <w:pPr>
        <w:pStyle w:val="ListParagraph"/>
        <w:numPr>
          <w:ilvl w:val="0"/>
          <w:numId w:val="11"/>
        </w:numPr>
        <w:tabs>
          <w:tab w:val="clear" w:pos="708"/>
          <w:tab w:val="left" w:pos="-567" w:leader="none"/>
        </w:tabs>
        <w:spacing w:lineRule="auto" w:line="360" w:before="0" w:after="0"/>
        <w:ind w:left="360" w:right="43" w:hanging="360"/>
        <w:contextualSpacing/>
        <w:jc w:val="both"/>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t>Il Comune si impegna a mettere a disposizione il proprio RUP ai fini dell’espletamento delle funzioni di commissario nella Commissione aggiudicatrice, su richiesta della CUC;</w:t>
      </w:r>
    </w:p>
    <w:p>
      <w:pPr>
        <w:pStyle w:val="ListParagraph"/>
        <w:numPr>
          <w:ilvl w:val="0"/>
          <w:numId w:val="11"/>
        </w:numPr>
        <w:tabs>
          <w:tab w:val="clear" w:pos="708"/>
          <w:tab w:val="left" w:pos="-567" w:leader="none"/>
        </w:tabs>
        <w:spacing w:lineRule="auto" w:line="360" w:before="0" w:after="0"/>
        <w:ind w:left="360" w:right="43" w:hanging="360"/>
        <w:contextualSpacing/>
        <w:jc w:val="both"/>
        <w:rPr>
          <w:rFonts w:ascii="Times New Roman" w:hAnsi="Times New Roman" w:eastAsia="SimSun" w:cs="Times New Roman"/>
          <w:kern w:val="2"/>
          <w:sz w:val="24"/>
          <w:szCs w:val="24"/>
          <w14:ligatures w14:val="none"/>
        </w:rPr>
      </w:pPr>
      <w:r>
        <w:rPr>
          <w:rFonts w:eastAsia="Times New Roman" w:cs="Times New Roman" w:ascii="Times New Roman" w:hAnsi="Times New Roman"/>
          <w:color w:val="000000"/>
          <w:kern w:val="0"/>
          <w:sz w:val="24"/>
          <w:szCs w:val="24"/>
          <w14:ligatures w14:val="none"/>
        </w:rPr>
        <w:t xml:space="preserve">Di norma il referente </w:t>
      </w:r>
      <w:r>
        <w:rPr>
          <w:rFonts w:eastAsia="Times New Roman" w:cs="Times New Roman" w:ascii="Times New Roman" w:hAnsi="Times New Roman"/>
          <w:kern w:val="2"/>
          <w:sz w:val="24"/>
          <w:szCs w:val="24"/>
          <w14:ligatures w14:val="none"/>
        </w:rPr>
        <w:t>del Comune</w:t>
      </w:r>
      <w:r>
        <w:rPr>
          <w:rFonts w:eastAsia="Times New Roman" w:cs="Times New Roman" w:ascii="Times New Roman" w:hAnsi="Times New Roman"/>
          <w:kern w:val="0"/>
          <w:sz w:val="24"/>
          <w:szCs w:val="24"/>
          <w14:ligatures w14:val="none"/>
        </w:rPr>
        <w:t xml:space="preserve"> nei rapporti con la CUC è il RUP;</w:t>
      </w:r>
    </w:p>
    <w:p>
      <w:pPr>
        <w:pStyle w:val="ListParagraph"/>
        <w:numPr>
          <w:ilvl w:val="0"/>
          <w:numId w:val="11"/>
        </w:numPr>
        <w:tabs>
          <w:tab w:val="clear" w:pos="708"/>
          <w:tab w:val="left" w:pos="-567" w:leader="none"/>
        </w:tabs>
        <w:spacing w:lineRule="auto" w:line="360" w:before="0" w:after="0"/>
        <w:ind w:left="360" w:right="43" w:hanging="360"/>
        <w:contextualSpacing/>
        <w:jc w:val="both"/>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t>Nella fase antecedente l’approvazione della determinazione a contrarre, il Comune collaborerà con la CUC per la definizione degli atti relativi alla procedura di gara;</w:t>
      </w:r>
    </w:p>
    <w:p>
      <w:pPr>
        <w:pStyle w:val="ListParagraph"/>
        <w:numPr>
          <w:ilvl w:val="0"/>
          <w:numId w:val="11"/>
        </w:numPr>
        <w:tabs>
          <w:tab w:val="clear" w:pos="708"/>
          <w:tab w:val="left" w:pos="-567" w:leader="none"/>
        </w:tabs>
        <w:spacing w:lineRule="auto" w:line="360" w:before="0" w:after="0"/>
        <w:ind w:left="360" w:right="43" w:hanging="360"/>
        <w:contextualSpacing/>
        <w:jc w:val="both"/>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t>Conclusa la predisposizione dei documenti di progettazione, il Comune, trasmette con PEC, la richiesta di indizione gara corredata della modulistica e degli allegati previsti;</w:t>
      </w:r>
    </w:p>
    <w:p>
      <w:pPr>
        <w:pStyle w:val="Normal"/>
        <w:suppressAutoHyphens w:val="true"/>
        <w:spacing w:lineRule="auto" w:line="360" w:before="0" w:after="0"/>
        <w:jc w:val="both"/>
        <w:rPr>
          <w:rFonts w:ascii="Times New Roman" w:hAnsi="Times New Roman" w:eastAsia="SimSun" w:cs="Times New Roman"/>
          <w:b/>
          <w:bCs/>
          <w:kern w:val="2"/>
          <w:sz w:val="24"/>
          <w:szCs w:val="24"/>
          <w14:ligatures w14:val="none"/>
        </w:rPr>
      </w:pPr>
      <w:r>
        <w:rPr>
          <w:rFonts w:eastAsia="SimSun" w:cs="Times New Roman" w:ascii="Times New Roman" w:hAnsi="Times New Roman"/>
          <w:b/>
          <w:bCs/>
          <w:kern w:val="2"/>
          <w:sz w:val="24"/>
          <w:szCs w:val="24"/>
          <w14:ligatures w14:val="none"/>
        </w:rPr>
      </w:r>
    </w:p>
    <w:p>
      <w:pPr>
        <w:pStyle w:val="Normal"/>
        <w:suppressAutoHyphens w:val="true"/>
        <w:spacing w:lineRule="auto" w:line="360" w:before="0" w:after="0"/>
        <w:jc w:val="both"/>
        <w:rPr>
          <w:rFonts w:ascii="Times New Roman" w:hAnsi="Times New Roman" w:eastAsia="SimSun" w:cs="Times New Roman"/>
          <w:b/>
          <w:bCs/>
          <w:i/>
          <w:i/>
          <w:iCs/>
          <w:kern w:val="2"/>
          <w:sz w:val="24"/>
          <w:szCs w:val="24"/>
          <w14:ligatures w14:val="none"/>
        </w:rPr>
      </w:pPr>
      <w:r>
        <w:rPr>
          <w:rFonts w:eastAsia="SimSun" w:cs="Times New Roman" w:ascii="Times New Roman" w:hAnsi="Times New Roman"/>
          <w:b/>
          <w:bCs/>
          <w:kern w:val="2"/>
          <w:sz w:val="24"/>
          <w:szCs w:val="24"/>
          <w14:ligatures w14:val="none"/>
        </w:rPr>
        <w:t xml:space="preserve">Articolo 7 - Aspetti finanziari </w:t>
      </w:r>
    </w:p>
    <w:p>
      <w:pPr>
        <w:pStyle w:val="Normal"/>
        <w:suppressAutoHyphens w:val="true"/>
        <w:spacing w:lineRule="auto" w:line="360" w:before="0" w:after="0"/>
        <w:jc w:val="both"/>
        <w:rPr>
          <w:rFonts w:ascii="Times New Roman" w:hAnsi="Times New Roman" w:eastAsia="SimSun" w:cs="Times New Roman"/>
          <w:kern w:val="2"/>
          <w:sz w:val="24"/>
          <w:szCs w:val="24"/>
          <w14:ligatures w14:val="none"/>
        </w:rPr>
      </w:pPr>
      <w:r>
        <w:rPr>
          <w:rFonts w:eastAsia="Times New Roman" w:cs="Times New Roman" w:ascii="Times New Roman" w:hAnsi="Times New Roman"/>
          <w:kern w:val="2"/>
          <w:sz w:val="24"/>
          <w:szCs w:val="24"/>
          <w14:ligatures w14:val="none"/>
        </w:rPr>
        <w:t>Il COMUNE</w:t>
      </w:r>
      <w:r>
        <w:rPr>
          <w:rFonts w:eastAsia="SimSun" w:cs="Times New Roman" w:ascii="Times New Roman" w:hAnsi="Times New Roman"/>
          <w:kern w:val="2"/>
          <w:sz w:val="24"/>
          <w:szCs w:val="24"/>
          <w14:ligatures w14:val="none"/>
        </w:rPr>
        <w:t xml:space="preserve"> non è tenuto al versamento della quota fissa, in quanto non aderisce alla CUC ed il presente Accordo è circoscritto unicamente </w:t>
      </w:r>
      <w:bookmarkStart w:id="8" w:name="_Hlk152242130"/>
      <w:r>
        <w:rPr>
          <w:rFonts w:eastAsia="SimSun" w:cs="Times New Roman" w:ascii="Times New Roman" w:hAnsi="Times New Roman"/>
          <w:kern w:val="2"/>
          <w:sz w:val="24"/>
          <w:szCs w:val="24"/>
          <w14:ligatures w14:val="none"/>
        </w:rPr>
        <w:t xml:space="preserve">alla procedura </w:t>
      </w:r>
      <w:bookmarkEnd w:id="8"/>
      <w:r>
        <w:rPr>
          <w:rFonts w:eastAsia="SimSun" w:cs="Times New Roman" w:ascii="Times New Roman" w:hAnsi="Times New Roman"/>
          <w:kern w:val="2"/>
          <w:sz w:val="24"/>
          <w:szCs w:val="24"/>
          <w14:ligatures w14:val="none"/>
        </w:rPr>
        <w:t>di gara di cui all’articolo 1 del presente Accordo.</w:t>
      </w:r>
    </w:p>
    <w:p>
      <w:pPr>
        <w:pStyle w:val="Normal"/>
        <w:suppressAutoHyphens w:val="true"/>
        <w:spacing w:lineRule="auto" w:line="360" w:before="0" w:after="0"/>
        <w:jc w:val="both"/>
        <w:rPr>
          <w:rFonts w:ascii="Times New Roman" w:hAnsi="Times New Roman" w:eastAsia="Times New Roman" w:cs="Times New Roman"/>
          <w:kern w:val="0"/>
          <w:sz w:val="24"/>
          <w:szCs w:val="24"/>
          <w14:ligatures w14:val="none"/>
        </w:rPr>
      </w:pPr>
      <w:bookmarkStart w:id="9" w:name="_Hlk155596617"/>
      <w:r>
        <w:rPr>
          <w:rFonts w:eastAsia="SimSun" w:cs="Times New Roman" w:ascii="Times New Roman" w:hAnsi="Times New Roman"/>
          <w:kern w:val="2"/>
          <w:sz w:val="24"/>
          <w:szCs w:val="24"/>
          <w14:ligatures w14:val="none"/>
        </w:rPr>
        <w:t xml:space="preserve">Per quanto concerne la compartecipazione – contribuzione da parte del COMUNE ai costi relativi all’espletamento </w:t>
      </w:r>
      <w:bookmarkStart w:id="10" w:name="_Hlk152242164"/>
      <w:r>
        <w:rPr>
          <w:rFonts w:eastAsia="SimSun" w:cs="Times New Roman" w:ascii="Times New Roman" w:hAnsi="Times New Roman"/>
          <w:kern w:val="2"/>
          <w:sz w:val="24"/>
          <w:szCs w:val="24"/>
          <w14:ligatures w14:val="none"/>
        </w:rPr>
        <w:t xml:space="preserve">della procedura </w:t>
      </w:r>
      <w:bookmarkEnd w:id="10"/>
      <w:r>
        <w:rPr>
          <w:rFonts w:eastAsia="SimSun" w:cs="Times New Roman" w:ascii="Times New Roman" w:hAnsi="Times New Roman"/>
          <w:kern w:val="2"/>
          <w:sz w:val="24"/>
          <w:szCs w:val="24"/>
          <w14:ligatures w14:val="none"/>
        </w:rPr>
        <w:t>oggetto del presente Accordo,</w:t>
      </w:r>
      <w:r>
        <w:rPr>
          <w:rFonts w:eastAsia="Times New Roman" w:cs="Times New Roman" w:ascii="Times New Roman" w:hAnsi="Times New Roman"/>
          <w:kern w:val="0"/>
          <w:sz w:val="24"/>
          <w:szCs w:val="24"/>
          <w14:ligatures w14:val="none"/>
        </w:rPr>
        <w:t xml:space="preserve"> tenuto conto dell'Allegato A del “Regolamento di organizzazione sul funzionamento della CUC “Area Vasta Brescia”, approvato con Decreto Presidente della Provincia n. 83 del 03/04/2025, </w:t>
      </w:r>
      <w:bookmarkStart w:id="11" w:name="_Hlk152242219"/>
      <w:r>
        <w:rPr>
          <w:rFonts w:eastAsia="Times New Roman" w:cs="Times New Roman" w:ascii="Times New Roman" w:hAnsi="Times New Roman"/>
          <w:kern w:val="0"/>
          <w:sz w:val="24"/>
          <w:szCs w:val="24"/>
          <w14:ligatures w14:val="none"/>
        </w:rPr>
        <w:t xml:space="preserve">si stabilisce che la quota variabile, le spese di gara e l’incentivo di cui all’articolo 45, comma 8 del Codice sono liquidati entro 30 gg dall’invio da parte della CUC della </w:t>
      </w:r>
      <w:bookmarkEnd w:id="11"/>
      <w:r>
        <w:rPr>
          <w:rFonts w:eastAsia="Times New Roman" w:cs="Times New Roman" w:ascii="Times New Roman" w:hAnsi="Times New Roman"/>
          <w:kern w:val="0"/>
          <w:sz w:val="24"/>
          <w:szCs w:val="24"/>
          <w14:ligatures w14:val="none"/>
        </w:rPr>
        <w:t>comunicazione di avvenuta aggiudicazione del contratto.</w:t>
      </w:r>
      <w:bookmarkEnd w:id="9"/>
    </w:p>
    <w:p>
      <w:pPr>
        <w:pStyle w:val="Normal"/>
        <w:suppressAutoHyphens w:val="true"/>
        <w:spacing w:lineRule="auto" w:line="360" w:before="0" w:after="0"/>
        <w:jc w:val="both"/>
        <w:rPr>
          <w:rFonts w:ascii="Times New Roman" w:hAnsi="Times New Roman" w:eastAsia="Cambria" w:cs="Times New Roman"/>
          <w:kern w:val="0"/>
          <w:sz w:val="24"/>
          <w:szCs w:val="24"/>
          <w14:ligatures w14:val="none"/>
        </w:rPr>
      </w:pPr>
      <w:r>
        <w:rPr>
          <w:rFonts w:eastAsia="Cambria" w:cs="Times New Roman" w:ascii="Times New Roman" w:hAnsi="Times New Roman"/>
          <w:kern w:val="0"/>
          <w:sz w:val="24"/>
          <w:szCs w:val="24"/>
          <w14:ligatures w14:val="none"/>
        </w:rPr>
        <w:t>Eventuali ulteriori attività svolte dalla CUC per uno o più Comuni saranno sono quotate in funzione della natura e della complessità dei servizi prestati.</w:t>
      </w:r>
    </w:p>
    <w:p>
      <w:pPr>
        <w:pStyle w:val="Normal"/>
        <w:suppressAutoHyphens w:val="true"/>
        <w:spacing w:lineRule="auto" w:line="360" w:before="0" w:after="0"/>
        <w:jc w:val="both"/>
        <w:rPr>
          <w:rFonts w:ascii="Times New Roman" w:hAnsi="Times New Roman" w:eastAsia="SimSun" w:cs="Times New Roman"/>
          <w:b/>
          <w:bCs/>
          <w:kern w:val="2"/>
          <w:sz w:val="24"/>
          <w:szCs w:val="24"/>
          <w14:ligatures w14:val="none"/>
        </w:rPr>
      </w:pPr>
      <w:r>
        <w:rPr>
          <w:rFonts w:eastAsia="SimSun" w:cs="Times New Roman" w:ascii="Times New Roman" w:hAnsi="Times New Roman"/>
          <w:b/>
          <w:bCs/>
          <w:kern w:val="2"/>
          <w:sz w:val="24"/>
          <w:szCs w:val="24"/>
          <w14:ligatures w14:val="none"/>
        </w:rPr>
      </w:r>
    </w:p>
    <w:p>
      <w:pPr>
        <w:pStyle w:val="Normal"/>
        <w:suppressAutoHyphens w:val="true"/>
        <w:spacing w:lineRule="auto" w:line="360" w:before="0" w:after="0"/>
        <w:jc w:val="both"/>
        <w:rPr>
          <w:rFonts w:ascii="Times New Roman" w:hAnsi="Times New Roman" w:eastAsia="SimSun" w:cs="Times New Roman"/>
          <w:b/>
          <w:bCs/>
          <w:kern w:val="2"/>
          <w:sz w:val="24"/>
          <w:szCs w:val="24"/>
          <w14:ligatures w14:val="none"/>
        </w:rPr>
      </w:pPr>
      <w:r>
        <w:rPr>
          <w:rFonts w:eastAsia="SimSun" w:cs="Times New Roman" w:ascii="Times New Roman" w:hAnsi="Times New Roman"/>
          <w:b/>
          <w:bCs/>
          <w:kern w:val="2"/>
          <w:sz w:val="24"/>
          <w:szCs w:val="24"/>
          <w14:ligatures w14:val="none"/>
        </w:rPr>
        <w:t xml:space="preserve">Articolo 8 - Contenzioso </w:t>
      </w:r>
    </w:p>
    <w:p>
      <w:pPr>
        <w:pStyle w:val="Normal"/>
        <w:suppressAutoHyphens w:val="true"/>
        <w:spacing w:lineRule="auto" w:line="360" w:before="0" w:after="0"/>
        <w:jc w:val="both"/>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t>Per qualunque controversia relativa all’interpretazione, esecuzione, validità o efficacia della presente Accordo, le parti si impegnano ad esperire un tentativo di conciliazione in via amministrativa.</w:t>
      </w:r>
    </w:p>
    <w:p>
      <w:pPr>
        <w:pStyle w:val="Normal"/>
        <w:suppressAutoHyphens w:val="true"/>
        <w:spacing w:lineRule="auto" w:line="360" w:before="0" w:after="0"/>
        <w:jc w:val="both"/>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t>Qualora il tentativo di conciliazione non dovesse avere esito, sarà competente il Foro di Brescia.</w:t>
      </w:r>
    </w:p>
    <w:p>
      <w:pPr>
        <w:pStyle w:val="Normal"/>
        <w:suppressAutoHyphens w:val="true"/>
        <w:spacing w:lineRule="auto" w:line="360" w:before="0" w:after="0"/>
        <w:jc w:val="both"/>
        <w:rPr>
          <w:rFonts w:ascii="Times New Roman" w:hAnsi="Times New Roman" w:eastAsia="SimSun" w:cs="Times New Roman"/>
          <w:b/>
          <w:bCs/>
          <w:kern w:val="2"/>
          <w:sz w:val="24"/>
          <w:szCs w:val="24"/>
          <w14:ligatures w14:val="none"/>
        </w:rPr>
      </w:pPr>
      <w:r>
        <w:rPr>
          <w:rFonts w:eastAsia="SimSun" w:cs="Times New Roman" w:ascii="Times New Roman" w:hAnsi="Times New Roman"/>
          <w:b/>
          <w:bCs/>
          <w:kern w:val="2"/>
          <w:sz w:val="24"/>
          <w:szCs w:val="24"/>
          <w14:ligatures w14:val="none"/>
        </w:rPr>
      </w:r>
    </w:p>
    <w:p>
      <w:pPr>
        <w:pStyle w:val="Normal"/>
        <w:suppressAutoHyphens w:val="true"/>
        <w:spacing w:lineRule="auto" w:line="360" w:before="0" w:after="0"/>
        <w:jc w:val="both"/>
        <w:rPr>
          <w:rFonts w:ascii="Times New Roman" w:hAnsi="Times New Roman" w:eastAsia="SimSun" w:cs="Times New Roman"/>
          <w:b/>
          <w:bCs/>
          <w:kern w:val="2"/>
          <w:sz w:val="24"/>
          <w:szCs w:val="24"/>
          <w14:ligatures w14:val="none"/>
        </w:rPr>
      </w:pPr>
      <w:r>
        <w:rPr>
          <w:rFonts w:eastAsia="SimSun" w:cs="Times New Roman" w:ascii="Times New Roman" w:hAnsi="Times New Roman"/>
          <w:b/>
          <w:bCs/>
          <w:kern w:val="2"/>
          <w:sz w:val="24"/>
          <w:szCs w:val="24"/>
          <w14:ligatures w14:val="none"/>
        </w:rPr>
        <w:t>Articolo 9 – Norme finali</w:t>
      </w:r>
    </w:p>
    <w:p>
      <w:pPr>
        <w:pStyle w:val="Normal"/>
        <w:tabs>
          <w:tab w:val="clear" w:pos="708"/>
          <w:tab w:val="left" w:pos="-567" w:leader="none"/>
        </w:tabs>
        <w:spacing w:lineRule="auto" w:line="360" w:before="0" w:after="0"/>
        <w:ind w:right="43" w:hanging="0"/>
        <w:jc w:val="both"/>
        <w:rPr>
          <w:rFonts w:ascii="Times New Roman" w:hAnsi="Times New Roman" w:eastAsia="Times New Roman" w:cs="Times New Roman"/>
          <w:color w:val="000000"/>
          <w:kern w:val="0"/>
          <w:sz w:val="24"/>
          <w:szCs w:val="24"/>
          <w14:ligatures w14:val="none"/>
        </w:rPr>
      </w:pPr>
      <w:r>
        <w:rPr>
          <w:rFonts w:eastAsia="Times New Roman" w:cs="Times New Roman" w:ascii="Times New Roman" w:hAnsi="Times New Roman"/>
          <w:color w:val="000000"/>
          <w:kern w:val="0"/>
          <w:sz w:val="24"/>
          <w:szCs w:val="24"/>
          <w14:ligatures w14:val="none"/>
        </w:rPr>
        <w:t>1. Le clausole del presente Accordo che richiamano specifiche norme del Codice, i relativi provvedimenti attuativi e altre disposizioni di legge in materia di contratti pubblici, si considerano automaticamente aggiornate in relazione a eventuali modifiche legislative sopravvenute.</w:t>
      </w:r>
    </w:p>
    <w:p>
      <w:pPr>
        <w:pStyle w:val="Normal"/>
        <w:tabs>
          <w:tab w:val="clear" w:pos="708"/>
          <w:tab w:val="left" w:pos="-567" w:leader="none"/>
        </w:tabs>
        <w:spacing w:lineRule="auto" w:line="360" w:before="0" w:after="0"/>
        <w:ind w:right="43" w:hanging="0"/>
        <w:jc w:val="both"/>
        <w:rPr>
          <w:rFonts w:ascii="Times New Roman" w:hAnsi="Times New Roman" w:eastAsia="Times New Roman" w:cs="Times New Roman"/>
          <w:color w:val="000000"/>
          <w:kern w:val="0"/>
          <w:sz w:val="24"/>
          <w:szCs w:val="24"/>
          <w14:ligatures w14:val="none"/>
        </w:rPr>
      </w:pPr>
      <w:r>
        <w:rPr>
          <w:rFonts w:eastAsia="Times New Roman" w:cs="Times New Roman" w:ascii="Times New Roman" w:hAnsi="Times New Roman"/>
          <w:color w:val="000000"/>
          <w:kern w:val="0"/>
          <w:sz w:val="24"/>
          <w:szCs w:val="24"/>
          <w14:ligatures w14:val="none"/>
        </w:rPr>
        <w:t>2. Per quanto non espressamente disciplinato dal presente Accordo, si rinvia alle norme vigenti e al vigente «Regolamento di organizzazione sul funzionamento della Centrale Unica di Committenza “Area Vasta Brescia”».</w:t>
      </w:r>
    </w:p>
    <w:p>
      <w:pPr>
        <w:pStyle w:val="Normal"/>
        <w:suppressAutoHyphens w:val="true"/>
        <w:spacing w:lineRule="auto" w:line="360" w:before="0" w:after="0"/>
        <w:jc w:val="both"/>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r>
    </w:p>
    <w:p>
      <w:pPr>
        <w:pStyle w:val="Normal"/>
        <w:suppressAutoHyphens w:val="true"/>
        <w:spacing w:lineRule="auto" w:line="360" w:before="0" w:after="0"/>
        <w:jc w:val="both"/>
        <w:rPr>
          <w:rFonts w:ascii="Times New Roman" w:hAnsi="Times New Roman" w:eastAsia="SimSun" w:cs="Times New Roman"/>
          <w:kern w:val="2"/>
          <w:sz w:val="24"/>
          <w:szCs w:val="24"/>
          <w14:ligatures w14:val="none"/>
        </w:rPr>
      </w:pPr>
      <w:r>
        <w:rPr>
          <w:rFonts w:eastAsia="SimSun" w:cs="Times New Roman" w:ascii="Times New Roman" w:hAnsi="Times New Roman"/>
          <w:kern w:val="2"/>
          <w:sz w:val="24"/>
          <w:szCs w:val="24"/>
          <w14:ligatures w14:val="none"/>
        </w:rPr>
      </w:r>
    </w:p>
    <w:tbl>
      <w:tblPr>
        <w:tblStyle w:val="Grigliatabella"/>
        <w:tblW w:w="963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828"/>
        <w:gridCol w:w="4809"/>
      </w:tblGrid>
      <w:tr>
        <w:trPr/>
        <w:tc>
          <w:tcPr>
            <w:tcW w:w="4828"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cs="Times New Roman"/>
                <w:sz w:val="24"/>
                <w:szCs w:val="24"/>
              </w:rPr>
            </w:pPr>
            <w:r>
              <w:rPr>
                <w:rFonts w:eastAsia="SimSun" w:cs="Times New Roman" w:ascii="Times New Roman" w:hAnsi="Times New Roman"/>
                <w:kern w:val="0"/>
                <w:sz w:val="24"/>
                <w:szCs w:val="24"/>
                <w:lang w:val="it-IT" w:eastAsia="it-IT" w:bidi="ar-SA"/>
              </w:rPr>
              <w:t>Per la Centrale Unica di Committenza</w:t>
            </w:r>
          </w:p>
          <w:p>
            <w:pPr>
              <w:pStyle w:val="Normal"/>
              <w:widowControl/>
              <w:suppressAutoHyphens w:val="true"/>
              <w:spacing w:lineRule="auto" w:line="240" w:before="0" w:after="0"/>
              <w:jc w:val="center"/>
              <w:rPr>
                <w:rFonts w:ascii="Times New Roman" w:hAnsi="Times New Roman" w:cs="Times New Roman"/>
                <w:sz w:val="24"/>
                <w:szCs w:val="24"/>
              </w:rPr>
            </w:pPr>
            <w:r>
              <w:rPr>
                <w:rFonts w:eastAsia="SimSun" w:cs="Times New Roman" w:ascii="Times New Roman" w:hAnsi="Times New Roman"/>
                <w:kern w:val="0"/>
                <w:sz w:val="24"/>
                <w:szCs w:val="24"/>
                <w:lang w:val="it-IT" w:eastAsia="it-IT" w:bidi="ar-SA"/>
              </w:rPr>
              <w:t xml:space="preserve">Area Vasta Brescia - Sede Principale </w:t>
            </w:r>
          </w:p>
          <w:p>
            <w:pPr>
              <w:pStyle w:val="Normal"/>
              <w:widowControl/>
              <w:suppressAutoHyphens w:val="true"/>
              <w:spacing w:lineRule="auto" w:line="240" w:before="0" w:after="0"/>
              <w:jc w:val="center"/>
              <w:rPr>
                <w:rFonts w:ascii="Times New Roman" w:hAnsi="Times New Roman" w:cs="Times New Roman"/>
                <w:sz w:val="24"/>
                <w:szCs w:val="24"/>
              </w:rPr>
            </w:pPr>
            <w:r>
              <w:rPr>
                <w:rFonts w:eastAsia="SimSun" w:cs="Times New Roman" w:ascii="Times New Roman" w:hAnsi="Times New Roman"/>
                <w:kern w:val="0"/>
                <w:sz w:val="24"/>
                <w:szCs w:val="24"/>
                <w:lang w:val="it-IT" w:eastAsia="it-IT" w:bidi="ar-SA"/>
              </w:rPr>
              <w:t>della Provincia di Brescia</w:t>
            </w:r>
          </w:p>
          <w:p>
            <w:pPr>
              <w:pStyle w:val="Normal"/>
              <w:widowControl/>
              <w:suppressAutoHyphens w:val="true"/>
              <w:spacing w:lineRule="auto" w:line="240" w:before="0" w:after="0"/>
              <w:jc w:val="center"/>
              <w:rPr>
                <w:rFonts w:ascii="Times New Roman" w:hAnsi="Times New Roman" w:cs="Times New Roman"/>
                <w:sz w:val="24"/>
                <w:szCs w:val="24"/>
              </w:rPr>
            </w:pPr>
            <w:r>
              <w:rPr>
                <w:rFonts w:eastAsia="SimSun" w:cs="Times New Roman" w:ascii="Times New Roman" w:hAnsi="Times New Roman"/>
                <w:kern w:val="0"/>
                <w:sz w:val="24"/>
                <w:szCs w:val="24"/>
                <w:lang w:val="it-IT" w:eastAsia="it-IT" w:bidi="ar-SA"/>
              </w:rPr>
              <w:t>Il Dirigente</w:t>
            </w:r>
          </w:p>
          <w:p>
            <w:pPr>
              <w:pStyle w:val="Normal"/>
              <w:widowControl/>
              <w:suppressAutoHyphens w:val="true"/>
              <w:spacing w:lineRule="auto" w:line="240" w:before="0" w:after="0"/>
              <w:jc w:val="center"/>
              <w:rPr>
                <w:rFonts w:ascii="Times New Roman" w:hAnsi="Times New Roman" w:cs="Times New Roman"/>
                <w:sz w:val="24"/>
                <w:szCs w:val="24"/>
              </w:rPr>
            </w:pPr>
            <w:r>
              <w:rPr>
                <w:rFonts w:eastAsia="SimSun" w:cs="Times New Roman" w:ascii="Times New Roman" w:hAnsi="Times New Roman"/>
                <w:kern w:val="0"/>
                <w:sz w:val="24"/>
                <w:szCs w:val="24"/>
                <w:lang w:val="it-IT" w:eastAsia="it-IT" w:bidi="ar-SA"/>
              </w:rPr>
              <w:t>Dott. Fabio De Marco</w:t>
            </w:r>
          </w:p>
          <w:p>
            <w:pPr>
              <w:pStyle w:val="Normal"/>
              <w:widowControl/>
              <w:suppressAutoHyphens w:val="true"/>
              <w:spacing w:lineRule="auto" w:line="240" w:before="113" w:after="227"/>
              <w:jc w:val="both"/>
              <w:rPr>
                <w:rFonts w:ascii="Times New Roman" w:hAnsi="Times New Roman" w:cs="Times New Roman"/>
                <w:kern w:val="2"/>
                <w:sz w:val="24"/>
                <w:szCs w:val="24"/>
              </w:rPr>
            </w:pPr>
            <w:r>
              <w:rPr>
                <w:rFonts w:eastAsia="SimSun" w:cs="Times New Roman" w:ascii="Times New Roman" w:hAnsi="Times New Roman"/>
                <w:kern w:val="2"/>
                <w:sz w:val="24"/>
                <w:szCs w:val="24"/>
                <w:lang w:val="it-IT" w:eastAsia="it-IT" w:bidi="ar-SA"/>
              </w:rPr>
            </w:r>
          </w:p>
        </w:tc>
        <w:tc>
          <w:tcPr>
            <w:tcW w:w="4809" w:type="dxa"/>
            <w:tcBorders>
              <w:top w:val="nil"/>
              <w:left w:val="nil"/>
              <w:bottom w:val="nil"/>
              <w:right w:val="nil"/>
            </w:tcBorders>
          </w:tcPr>
          <w:p>
            <w:pPr>
              <w:pStyle w:val="Normal"/>
              <w:widowControl/>
              <w:suppressAutoHyphens w:val="true"/>
              <w:spacing w:lineRule="auto" w:line="240" w:before="0" w:after="0"/>
              <w:jc w:val="center"/>
              <w:rPr>
                <w:rFonts w:ascii="Times New Roman" w:hAnsi="Times New Roman" w:cs="Times New Roman"/>
                <w:sz w:val="24"/>
                <w:szCs w:val="24"/>
              </w:rPr>
            </w:pPr>
            <w:r>
              <w:rPr>
                <w:rFonts w:eastAsia="SimSun" w:cs="Times New Roman" w:ascii="Times New Roman" w:hAnsi="Times New Roman"/>
                <w:kern w:val="0"/>
                <w:sz w:val="24"/>
                <w:szCs w:val="24"/>
                <w:lang w:val="it-IT" w:eastAsia="it-IT" w:bidi="ar-SA"/>
              </w:rPr>
              <w:t xml:space="preserve">Per </w:t>
            </w:r>
            <w:r>
              <w:rPr>
                <w:rFonts w:eastAsia="Times New Roman" w:cs="Times New Roman" w:ascii="Times New Roman" w:hAnsi="Times New Roman"/>
                <w:kern w:val="0"/>
                <w:sz w:val="24"/>
                <w:szCs w:val="24"/>
                <w:lang w:val="it-IT" w:eastAsia="it-IT" w:bidi="ar-SA"/>
              </w:rPr>
              <w:t xml:space="preserve">il Comune di Malnate </w:t>
            </w:r>
          </w:p>
          <w:p>
            <w:pPr>
              <w:pStyle w:val="Normal"/>
              <w:widowControl/>
              <w:suppressAutoHyphens w:val="true"/>
              <w:spacing w:lineRule="auto" w:line="240" w:before="0" w:after="0"/>
              <w:jc w:val="center"/>
              <w:rPr>
                <w:rFonts w:ascii="Times New Roman" w:hAnsi="Times New Roman" w:cs="Times New Roman"/>
                <w:sz w:val="24"/>
                <w:szCs w:val="24"/>
              </w:rPr>
            </w:pPr>
            <w:r>
              <w:rPr>
                <w:rFonts w:eastAsia="SimSun" w:cs="Times New Roman" w:ascii="Times New Roman" w:hAnsi="Times New Roman"/>
                <w:kern w:val="0"/>
                <w:sz w:val="24"/>
                <w:szCs w:val="24"/>
                <w:lang w:val="it-IT" w:eastAsia="it-IT" w:bidi="ar-SA"/>
              </w:rPr>
              <w:t xml:space="preserve">Il </w:t>
            </w:r>
            <w:r>
              <w:rPr>
                <w:rFonts w:eastAsia="SimSun" w:cs="Times New Roman" w:ascii="Times New Roman" w:hAnsi="Times New Roman"/>
                <w:kern w:val="0"/>
                <w:sz w:val="24"/>
                <w:szCs w:val="24"/>
                <w:lang w:val="it-IT" w:eastAsia="it-IT" w:bidi="ar-SA"/>
              </w:rPr>
              <w:t>Segretario Generale</w:t>
            </w:r>
          </w:p>
          <w:p>
            <w:pPr>
              <w:pStyle w:val="Normal"/>
              <w:widowControl/>
              <w:suppressAutoHyphens w:val="true"/>
              <w:spacing w:lineRule="auto" w:line="240" w:before="0" w:after="0"/>
              <w:jc w:val="center"/>
              <w:rPr>
                <w:rFonts w:ascii="Times New Roman" w:hAnsi="Times New Roman" w:cs="Times New Roman"/>
                <w:sz w:val="24"/>
                <w:szCs w:val="24"/>
              </w:rPr>
            </w:pPr>
            <w:r>
              <w:rPr>
                <w:rFonts w:eastAsia="SimSun" w:cs="Times New Roman" w:ascii="Times New Roman" w:hAnsi="Times New Roman"/>
                <w:kern w:val="0"/>
                <w:sz w:val="24"/>
                <w:szCs w:val="24"/>
                <w:lang w:val="it-IT" w:eastAsia="it-IT" w:bidi="ar-SA"/>
              </w:rPr>
              <w:t>Dott. Rocco Ermidio</w:t>
            </w:r>
          </w:p>
          <w:p>
            <w:pPr>
              <w:pStyle w:val="Normal"/>
              <w:widowControl/>
              <w:suppressAutoHyphens w:val="true"/>
              <w:spacing w:lineRule="auto" w:line="240" w:before="113" w:after="227"/>
              <w:jc w:val="both"/>
              <w:rPr>
                <w:rFonts w:ascii="Times New Roman" w:hAnsi="Times New Roman" w:cs="Times New Roman"/>
                <w:sz w:val="24"/>
                <w:szCs w:val="24"/>
              </w:rPr>
            </w:pPr>
            <w:r>
              <w:rPr>
                <w:rFonts w:eastAsia="SimSun" w:cs="Times New Roman" w:ascii="Times New Roman" w:hAnsi="Times New Roman"/>
                <w:kern w:val="0"/>
                <w:sz w:val="24"/>
                <w:szCs w:val="24"/>
                <w:lang w:val="it-IT" w:eastAsia="it-IT" w:bidi="ar-SA"/>
              </w:rPr>
            </w:r>
          </w:p>
        </w:tc>
      </w:tr>
    </w:tbl>
    <w:p>
      <w:pPr>
        <w:pStyle w:val="Normal"/>
        <w:spacing w:before="0" w:after="160"/>
        <w:rPr>
          <w:rFonts w:ascii="Times New Roman" w:hAnsi="Times New Roman" w:cs="Times New Roman"/>
          <w:sz w:val="24"/>
          <w:szCs w:val="24"/>
        </w:rPr>
      </w:pPr>
      <w:r>
        <w:rPr/>
      </w:r>
    </w:p>
    <w:sectPr>
      <w:type w:val="nextPage"/>
      <w:pgSz w:w="11906" w:h="16838"/>
      <w:pgMar w:left="1134" w:right="1134" w:gutter="0" w:header="0" w:top="1417"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Times">
    <w:altName w:val="Times New Roman"/>
    <w:charset w:val="01"/>
    <w:family w:val="roman"/>
    <w:pitch w:val="default"/>
  </w:font>
  <w:font w:name="Courier New">
    <w:charset w:val="01"/>
    <w:family w:val="modern"/>
    <w:pitch w:val="fixed"/>
  </w:font>
  <w:font w:name="Wingdings">
    <w:charset w:val="02"/>
    <w:family w:val="auto"/>
    <w:pitch w:val="variable"/>
  </w:font>
  <w:font w:name="OpenSymbol">
    <w:altName w:val="Arial Unicode M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513" w:hanging="360"/>
      </w:pPr>
      <w:rPr>
        <w:rFonts w:ascii="Times" w:hAnsi="Times" w:cs="Times" w:hint="default"/>
      </w:rPr>
    </w:lvl>
    <w:lvl w:ilvl="1">
      <w:start w:val="1"/>
      <w:numFmt w:val="bullet"/>
      <w:lvlText w:val="o"/>
      <w:lvlJc w:val="left"/>
      <w:pPr>
        <w:tabs>
          <w:tab w:val="num" w:pos="0"/>
        </w:tabs>
        <w:ind w:left="1233" w:hanging="360"/>
      </w:pPr>
      <w:rPr>
        <w:rFonts w:ascii="Courier New" w:hAnsi="Courier New" w:cs="Courier New" w:hint="default"/>
      </w:rPr>
    </w:lvl>
    <w:lvl w:ilvl="2">
      <w:start w:val="1"/>
      <w:numFmt w:val="bullet"/>
      <w:lvlText w:val=""/>
      <w:lvlJc w:val="left"/>
      <w:pPr>
        <w:tabs>
          <w:tab w:val="num" w:pos="0"/>
        </w:tabs>
        <w:ind w:left="1953" w:hanging="360"/>
      </w:pPr>
      <w:rPr>
        <w:rFonts w:ascii="Wingdings" w:hAnsi="Wingdings" w:cs="Wingdings" w:hint="default"/>
      </w:rPr>
    </w:lvl>
    <w:lvl w:ilvl="3">
      <w:start w:val="1"/>
      <w:numFmt w:val="bullet"/>
      <w:lvlText w:val=""/>
      <w:lvlJc w:val="left"/>
      <w:pPr>
        <w:tabs>
          <w:tab w:val="num" w:pos="0"/>
        </w:tabs>
        <w:ind w:left="2673" w:hanging="360"/>
      </w:pPr>
      <w:rPr>
        <w:rFonts w:ascii="Symbol" w:hAnsi="Symbol" w:cs="Symbol" w:hint="default"/>
      </w:rPr>
    </w:lvl>
    <w:lvl w:ilvl="4">
      <w:start w:val="1"/>
      <w:numFmt w:val="bullet"/>
      <w:lvlText w:val="o"/>
      <w:lvlJc w:val="left"/>
      <w:pPr>
        <w:tabs>
          <w:tab w:val="num" w:pos="0"/>
        </w:tabs>
        <w:ind w:left="3393" w:hanging="360"/>
      </w:pPr>
      <w:rPr>
        <w:rFonts w:ascii="Courier New" w:hAnsi="Courier New" w:cs="Courier New" w:hint="default"/>
      </w:rPr>
    </w:lvl>
    <w:lvl w:ilvl="5">
      <w:start w:val="1"/>
      <w:numFmt w:val="bullet"/>
      <w:lvlText w:val=""/>
      <w:lvlJc w:val="left"/>
      <w:pPr>
        <w:tabs>
          <w:tab w:val="num" w:pos="0"/>
        </w:tabs>
        <w:ind w:left="4113" w:hanging="360"/>
      </w:pPr>
      <w:rPr>
        <w:rFonts w:ascii="Wingdings" w:hAnsi="Wingdings" w:cs="Wingdings" w:hint="default"/>
      </w:rPr>
    </w:lvl>
    <w:lvl w:ilvl="6">
      <w:start w:val="1"/>
      <w:numFmt w:val="bullet"/>
      <w:lvlText w:val=""/>
      <w:lvlJc w:val="left"/>
      <w:pPr>
        <w:tabs>
          <w:tab w:val="num" w:pos="0"/>
        </w:tabs>
        <w:ind w:left="4833" w:hanging="360"/>
      </w:pPr>
      <w:rPr>
        <w:rFonts w:ascii="Symbol" w:hAnsi="Symbol" w:cs="Symbol" w:hint="default"/>
      </w:rPr>
    </w:lvl>
    <w:lvl w:ilvl="7">
      <w:start w:val="1"/>
      <w:numFmt w:val="bullet"/>
      <w:lvlText w:val="o"/>
      <w:lvlJc w:val="left"/>
      <w:pPr>
        <w:tabs>
          <w:tab w:val="num" w:pos="0"/>
        </w:tabs>
        <w:ind w:left="5553" w:hanging="360"/>
      </w:pPr>
      <w:rPr>
        <w:rFonts w:ascii="Courier New" w:hAnsi="Courier New" w:cs="Courier New" w:hint="default"/>
      </w:rPr>
    </w:lvl>
    <w:lvl w:ilvl="8">
      <w:start w:val="1"/>
      <w:numFmt w:val="bullet"/>
      <w:lvlText w:val=""/>
      <w:lvlJc w:val="left"/>
      <w:pPr>
        <w:tabs>
          <w:tab w:val="num" w:pos="0"/>
        </w:tabs>
        <w:ind w:left="6273" w:hanging="360"/>
      </w:pPr>
      <w:rPr>
        <w:rFonts w:ascii="Wingdings" w:hAnsi="Wingdings" w:cs="Wingdings" w:hint="default"/>
      </w:rPr>
    </w:lvl>
  </w:abstractNum>
  <w:abstractNum w:abstractNumId="2">
    <w:lvl w:ilvl="0">
      <w:start w:val="1"/>
      <w:numFmt w:val="bullet"/>
      <w:lvlText w:val="-"/>
      <w:lvlJc w:val="left"/>
      <w:pPr>
        <w:tabs>
          <w:tab w:val="num" w:pos="0"/>
        </w:tabs>
        <w:ind w:left="513" w:hanging="360"/>
      </w:pPr>
      <w:rPr>
        <w:rFonts w:ascii="Times" w:hAnsi="Times" w:cs="Times" w:hint="default"/>
      </w:rPr>
    </w:lvl>
    <w:lvl w:ilvl="1">
      <w:start w:val="1"/>
      <w:numFmt w:val="bullet"/>
      <w:lvlText w:val="o"/>
      <w:lvlJc w:val="left"/>
      <w:pPr>
        <w:tabs>
          <w:tab w:val="num" w:pos="0"/>
        </w:tabs>
        <w:ind w:left="1233" w:hanging="360"/>
      </w:pPr>
      <w:rPr>
        <w:rFonts w:ascii="Courier New" w:hAnsi="Courier New" w:cs="Courier New" w:hint="default"/>
      </w:rPr>
    </w:lvl>
    <w:lvl w:ilvl="2">
      <w:start w:val="1"/>
      <w:numFmt w:val="bullet"/>
      <w:lvlText w:val=""/>
      <w:lvlJc w:val="left"/>
      <w:pPr>
        <w:tabs>
          <w:tab w:val="num" w:pos="0"/>
        </w:tabs>
        <w:ind w:left="1953" w:hanging="360"/>
      </w:pPr>
      <w:rPr>
        <w:rFonts w:ascii="Wingdings" w:hAnsi="Wingdings" w:cs="Wingdings" w:hint="default"/>
      </w:rPr>
    </w:lvl>
    <w:lvl w:ilvl="3">
      <w:start w:val="1"/>
      <w:numFmt w:val="bullet"/>
      <w:lvlText w:val=""/>
      <w:lvlJc w:val="left"/>
      <w:pPr>
        <w:tabs>
          <w:tab w:val="num" w:pos="0"/>
        </w:tabs>
        <w:ind w:left="2673" w:hanging="360"/>
      </w:pPr>
      <w:rPr>
        <w:rFonts w:ascii="Symbol" w:hAnsi="Symbol" w:cs="Symbol" w:hint="default"/>
      </w:rPr>
    </w:lvl>
    <w:lvl w:ilvl="4">
      <w:start w:val="1"/>
      <w:numFmt w:val="bullet"/>
      <w:lvlText w:val="o"/>
      <w:lvlJc w:val="left"/>
      <w:pPr>
        <w:tabs>
          <w:tab w:val="num" w:pos="0"/>
        </w:tabs>
        <w:ind w:left="3393" w:hanging="360"/>
      </w:pPr>
      <w:rPr>
        <w:rFonts w:ascii="Courier New" w:hAnsi="Courier New" w:cs="Courier New" w:hint="default"/>
      </w:rPr>
    </w:lvl>
    <w:lvl w:ilvl="5">
      <w:start w:val="1"/>
      <w:numFmt w:val="bullet"/>
      <w:lvlText w:val=""/>
      <w:lvlJc w:val="left"/>
      <w:pPr>
        <w:tabs>
          <w:tab w:val="num" w:pos="0"/>
        </w:tabs>
        <w:ind w:left="4113" w:hanging="360"/>
      </w:pPr>
      <w:rPr>
        <w:rFonts w:ascii="Wingdings" w:hAnsi="Wingdings" w:cs="Wingdings" w:hint="default"/>
      </w:rPr>
    </w:lvl>
    <w:lvl w:ilvl="6">
      <w:start w:val="1"/>
      <w:numFmt w:val="bullet"/>
      <w:lvlText w:val=""/>
      <w:lvlJc w:val="left"/>
      <w:pPr>
        <w:tabs>
          <w:tab w:val="num" w:pos="0"/>
        </w:tabs>
        <w:ind w:left="4833" w:hanging="360"/>
      </w:pPr>
      <w:rPr>
        <w:rFonts w:ascii="Symbol" w:hAnsi="Symbol" w:cs="Symbol" w:hint="default"/>
      </w:rPr>
    </w:lvl>
    <w:lvl w:ilvl="7">
      <w:start w:val="1"/>
      <w:numFmt w:val="bullet"/>
      <w:lvlText w:val="o"/>
      <w:lvlJc w:val="left"/>
      <w:pPr>
        <w:tabs>
          <w:tab w:val="num" w:pos="0"/>
        </w:tabs>
        <w:ind w:left="5553" w:hanging="360"/>
      </w:pPr>
      <w:rPr>
        <w:rFonts w:ascii="Courier New" w:hAnsi="Courier New" w:cs="Courier New" w:hint="default"/>
      </w:rPr>
    </w:lvl>
    <w:lvl w:ilvl="8">
      <w:start w:val="1"/>
      <w:numFmt w:val="bullet"/>
      <w:lvlText w:val=""/>
      <w:lvlJc w:val="left"/>
      <w:pPr>
        <w:tabs>
          <w:tab w:val="num" w:pos="0"/>
        </w:tabs>
        <w:ind w:left="6273" w:hanging="360"/>
      </w:pPr>
      <w:rPr>
        <w:rFonts w:ascii="Wingdings" w:hAnsi="Wingdings" w:cs="Wingdings" w:hint="default"/>
      </w:rPr>
    </w:lvl>
  </w:abstractNum>
  <w:abstractNum w:abstractNumId="3">
    <w:lvl w:ilvl="0">
      <w:start w:val="1"/>
      <w:numFmt w:val="bullet"/>
      <w:lvlText w:val="-"/>
      <w:lvlJc w:val="left"/>
      <w:pPr>
        <w:tabs>
          <w:tab w:val="num" w:pos="0"/>
        </w:tabs>
        <w:ind w:left="513" w:hanging="360"/>
      </w:pPr>
      <w:rPr>
        <w:rFonts w:ascii="Times" w:hAnsi="Times" w:cs="Times" w:hint="default"/>
      </w:rPr>
    </w:lvl>
    <w:lvl w:ilvl="1">
      <w:start w:val="1"/>
      <w:numFmt w:val="bullet"/>
      <w:lvlText w:val="o"/>
      <w:lvlJc w:val="left"/>
      <w:pPr>
        <w:tabs>
          <w:tab w:val="num" w:pos="0"/>
        </w:tabs>
        <w:ind w:left="1233" w:hanging="360"/>
      </w:pPr>
      <w:rPr>
        <w:rFonts w:ascii="Courier New" w:hAnsi="Courier New" w:cs="Courier New" w:hint="default"/>
      </w:rPr>
    </w:lvl>
    <w:lvl w:ilvl="2">
      <w:start w:val="1"/>
      <w:numFmt w:val="bullet"/>
      <w:lvlText w:val=""/>
      <w:lvlJc w:val="left"/>
      <w:pPr>
        <w:tabs>
          <w:tab w:val="num" w:pos="0"/>
        </w:tabs>
        <w:ind w:left="1953" w:hanging="360"/>
      </w:pPr>
      <w:rPr>
        <w:rFonts w:ascii="Wingdings" w:hAnsi="Wingdings" w:cs="Wingdings" w:hint="default"/>
      </w:rPr>
    </w:lvl>
    <w:lvl w:ilvl="3">
      <w:start w:val="1"/>
      <w:numFmt w:val="bullet"/>
      <w:lvlText w:val=""/>
      <w:lvlJc w:val="left"/>
      <w:pPr>
        <w:tabs>
          <w:tab w:val="num" w:pos="0"/>
        </w:tabs>
        <w:ind w:left="2673" w:hanging="360"/>
      </w:pPr>
      <w:rPr>
        <w:rFonts w:ascii="Symbol" w:hAnsi="Symbol" w:cs="Symbol" w:hint="default"/>
      </w:rPr>
    </w:lvl>
    <w:lvl w:ilvl="4">
      <w:start w:val="1"/>
      <w:numFmt w:val="bullet"/>
      <w:lvlText w:val="o"/>
      <w:lvlJc w:val="left"/>
      <w:pPr>
        <w:tabs>
          <w:tab w:val="num" w:pos="0"/>
        </w:tabs>
        <w:ind w:left="3393" w:hanging="360"/>
      </w:pPr>
      <w:rPr>
        <w:rFonts w:ascii="Courier New" w:hAnsi="Courier New" w:cs="Courier New" w:hint="default"/>
      </w:rPr>
    </w:lvl>
    <w:lvl w:ilvl="5">
      <w:start w:val="1"/>
      <w:numFmt w:val="bullet"/>
      <w:lvlText w:val=""/>
      <w:lvlJc w:val="left"/>
      <w:pPr>
        <w:tabs>
          <w:tab w:val="num" w:pos="0"/>
        </w:tabs>
        <w:ind w:left="4113" w:hanging="360"/>
      </w:pPr>
      <w:rPr>
        <w:rFonts w:ascii="Wingdings" w:hAnsi="Wingdings" w:cs="Wingdings" w:hint="default"/>
      </w:rPr>
    </w:lvl>
    <w:lvl w:ilvl="6">
      <w:start w:val="1"/>
      <w:numFmt w:val="bullet"/>
      <w:lvlText w:val=""/>
      <w:lvlJc w:val="left"/>
      <w:pPr>
        <w:tabs>
          <w:tab w:val="num" w:pos="0"/>
        </w:tabs>
        <w:ind w:left="4833" w:hanging="360"/>
      </w:pPr>
      <w:rPr>
        <w:rFonts w:ascii="Symbol" w:hAnsi="Symbol" w:cs="Symbol" w:hint="default"/>
      </w:rPr>
    </w:lvl>
    <w:lvl w:ilvl="7">
      <w:start w:val="1"/>
      <w:numFmt w:val="bullet"/>
      <w:lvlText w:val="o"/>
      <w:lvlJc w:val="left"/>
      <w:pPr>
        <w:tabs>
          <w:tab w:val="num" w:pos="0"/>
        </w:tabs>
        <w:ind w:left="5553" w:hanging="360"/>
      </w:pPr>
      <w:rPr>
        <w:rFonts w:ascii="Courier New" w:hAnsi="Courier New" w:cs="Courier New" w:hint="default"/>
      </w:rPr>
    </w:lvl>
    <w:lvl w:ilvl="8">
      <w:start w:val="1"/>
      <w:numFmt w:val="bullet"/>
      <w:lvlText w:val=""/>
      <w:lvlJc w:val="left"/>
      <w:pPr>
        <w:tabs>
          <w:tab w:val="num" w:pos="0"/>
        </w:tabs>
        <w:ind w:left="6273" w:hanging="360"/>
      </w:pPr>
      <w:rPr>
        <w:rFonts w:ascii="Wingdings" w:hAnsi="Wingdings" w:cs="Wingdings" w:hint="default"/>
      </w:rPr>
    </w:lvl>
  </w:abstractNum>
  <w:abstractNum w:abstractNumId="4">
    <w:lvl w:ilvl="0">
      <w:start w:val="1"/>
      <w:numFmt w:val="bullet"/>
      <w:lvlText w:val="-"/>
      <w:lvlJc w:val="left"/>
      <w:pPr>
        <w:tabs>
          <w:tab w:val="num" w:pos="0"/>
        </w:tabs>
        <w:ind w:left="513" w:hanging="360"/>
      </w:pPr>
      <w:rPr>
        <w:rFonts w:ascii="Times" w:hAnsi="Times" w:cs="Times" w:hint="default"/>
      </w:rPr>
    </w:lvl>
    <w:lvl w:ilvl="1">
      <w:start w:val="1"/>
      <w:numFmt w:val="bullet"/>
      <w:lvlText w:val="o"/>
      <w:lvlJc w:val="left"/>
      <w:pPr>
        <w:tabs>
          <w:tab w:val="num" w:pos="0"/>
        </w:tabs>
        <w:ind w:left="1233" w:hanging="360"/>
      </w:pPr>
      <w:rPr>
        <w:rFonts w:ascii="Courier New" w:hAnsi="Courier New" w:cs="Courier New" w:hint="default"/>
      </w:rPr>
    </w:lvl>
    <w:lvl w:ilvl="2">
      <w:start w:val="1"/>
      <w:numFmt w:val="bullet"/>
      <w:lvlText w:val=""/>
      <w:lvlJc w:val="left"/>
      <w:pPr>
        <w:tabs>
          <w:tab w:val="num" w:pos="0"/>
        </w:tabs>
        <w:ind w:left="1953" w:hanging="360"/>
      </w:pPr>
      <w:rPr>
        <w:rFonts w:ascii="Wingdings" w:hAnsi="Wingdings" w:cs="Wingdings" w:hint="default"/>
      </w:rPr>
    </w:lvl>
    <w:lvl w:ilvl="3">
      <w:start w:val="1"/>
      <w:numFmt w:val="bullet"/>
      <w:lvlText w:val=""/>
      <w:lvlJc w:val="left"/>
      <w:pPr>
        <w:tabs>
          <w:tab w:val="num" w:pos="0"/>
        </w:tabs>
        <w:ind w:left="2673" w:hanging="360"/>
      </w:pPr>
      <w:rPr>
        <w:rFonts w:ascii="Symbol" w:hAnsi="Symbol" w:cs="Symbol" w:hint="default"/>
      </w:rPr>
    </w:lvl>
    <w:lvl w:ilvl="4">
      <w:start w:val="1"/>
      <w:numFmt w:val="bullet"/>
      <w:lvlText w:val="o"/>
      <w:lvlJc w:val="left"/>
      <w:pPr>
        <w:tabs>
          <w:tab w:val="num" w:pos="0"/>
        </w:tabs>
        <w:ind w:left="3393" w:hanging="360"/>
      </w:pPr>
      <w:rPr>
        <w:rFonts w:ascii="Courier New" w:hAnsi="Courier New" w:cs="Courier New" w:hint="default"/>
      </w:rPr>
    </w:lvl>
    <w:lvl w:ilvl="5">
      <w:start w:val="1"/>
      <w:numFmt w:val="bullet"/>
      <w:lvlText w:val=""/>
      <w:lvlJc w:val="left"/>
      <w:pPr>
        <w:tabs>
          <w:tab w:val="num" w:pos="0"/>
        </w:tabs>
        <w:ind w:left="4113" w:hanging="360"/>
      </w:pPr>
      <w:rPr>
        <w:rFonts w:ascii="Wingdings" w:hAnsi="Wingdings" w:cs="Wingdings" w:hint="default"/>
      </w:rPr>
    </w:lvl>
    <w:lvl w:ilvl="6">
      <w:start w:val="1"/>
      <w:numFmt w:val="bullet"/>
      <w:lvlText w:val=""/>
      <w:lvlJc w:val="left"/>
      <w:pPr>
        <w:tabs>
          <w:tab w:val="num" w:pos="0"/>
        </w:tabs>
        <w:ind w:left="4833" w:hanging="360"/>
      </w:pPr>
      <w:rPr>
        <w:rFonts w:ascii="Symbol" w:hAnsi="Symbol" w:cs="Symbol" w:hint="default"/>
      </w:rPr>
    </w:lvl>
    <w:lvl w:ilvl="7">
      <w:start w:val="1"/>
      <w:numFmt w:val="bullet"/>
      <w:lvlText w:val="o"/>
      <w:lvlJc w:val="left"/>
      <w:pPr>
        <w:tabs>
          <w:tab w:val="num" w:pos="0"/>
        </w:tabs>
        <w:ind w:left="5553" w:hanging="360"/>
      </w:pPr>
      <w:rPr>
        <w:rFonts w:ascii="Courier New" w:hAnsi="Courier New" w:cs="Courier New" w:hint="default"/>
      </w:rPr>
    </w:lvl>
    <w:lvl w:ilvl="8">
      <w:start w:val="1"/>
      <w:numFmt w:val="bullet"/>
      <w:lvlText w:val=""/>
      <w:lvlJc w:val="left"/>
      <w:pPr>
        <w:tabs>
          <w:tab w:val="num" w:pos="0"/>
        </w:tabs>
        <w:ind w:left="6273"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OpenSymbol" w:hAnsi="OpenSymbol" w:cs="OpenSymbol" w:hint="default"/>
      </w:rPr>
    </w:lvl>
    <w:lvl w:ilvl="1">
      <w:start w:val="0"/>
      <w:numFmt w:val="decimal"/>
      <w:lvlText w:val=""/>
      <w:lvlJc w:val="left"/>
      <w:pPr>
        <w:tabs>
          <w:tab w:val="num" w:pos="0"/>
        </w:tabs>
        <w:ind w:left="0" w:hanging="0"/>
      </w:pPr>
      <w:rPr>
        <w:rFonts w:cs="Times New Roman"/>
      </w:rPr>
    </w:lvl>
    <w:lvl w:ilvl="2">
      <w:start w:val="0"/>
      <w:numFmt w:val="decimal"/>
      <w:lvlText w:val=""/>
      <w:lvlJc w:val="left"/>
      <w:pPr>
        <w:tabs>
          <w:tab w:val="num" w:pos="0"/>
        </w:tabs>
        <w:ind w:left="0" w:hanging="0"/>
      </w:pPr>
      <w:rPr>
        <w:rFonts w:cs="Times New Roman"/>
      </w:rPr>
    </w:lvl>
    <w:lvl w:ilvl="3">
      <w:start w:val="0"/>
      <w:numFmt w:val="decimal"/>
      <w:lvlText w:val=""/>
      <w:lvlJc w:val="left"/>
      <w:pPr>
        <w:tabs>
          <w:tab w:val="num" w:pos="0"/>
        </w:tabs>
        <w:ind w:left="0" w:hanging="0"/>
      </w:pPr>
      <w:rPr>
        <w:rFonts w:cs="Times New Roman"/>
      </w:rPr>
    </w:lvl>
    <w:lvl w:ilvl="4">
      <w:start w:val="0"/>
      <w:numFmt w:val="decimal"/>
      <w:lvlText w:val=""/>
      <w:lvlJc w:val="left"/>
      <w:pPr>
        <w:tabs>
          <w:tab w:val="num" w:pos="0"/>
        </w:tabs>
        <w:ind w:left="0" w:hanging="0"/>
      </w:pPr>
      <w:rPr>
        <w:rFonts w:cs="Times New Roman"/>
      </w:rPr>
    </w:lvl>
    <w:lvl w:ilvl="5">
      <w:start w:val="0"/>
      <w:numFmt w:val="decimal"/>
      <w:lvlText w:val=""/>
      <w:lvlJc w:val="left"/>
      <w:pPr>
        <w:tabs>
          <w:tab w:val="num" w:pos="0"/>
        </w:tabs>
        <w:ind w:left="0" w:hanging="0"/>
      </w:pPr>
      <w:rPr>
        <w:rFonts w:cs="Times New Roman"/>
      </w:rPr>
    </w:lvl>
    <w:lvl w:ilvl="6">
      <w:start w:val="0"/>
      <w:numFmt w:val="decimal"/>
      <w:lvlText w:val=""/>
      <w:lvlJc w:val="left"/>
      <w:pPr>
        <w:tabs>
          <w:tab w:val="num" w:pos="0"/>
        </w:tabs>
        <w:ind w:left="0" w:hanging="0"/>
      </w:pPr>
      <w:rPr>
        <w:rFonts w:cs="Times New Roman"/>
      </w:rPr>
    </w:lvl>
    <w:lvl w:ilvl="7">
      <w:start w:val="0"/>
      <w:numFmt w:val="decimal"/>
      <w:lvlText w:val=""/>
      <w:lvlJc w:val="left"/>
      <w:pPr>
        <w:tabs>
          <w:tab w:val="num" w:pos="0"/>
        </w:tabs>
        <w:ind w:left="0" w:hanging="0"/>
      </w:pPr>
      <w:rPr>
        <w:rFonts w:cs="Times New Roman"/>
      </w:rPr>
    </w:lvl>
    <w:lvl w:ilvl="8">
      <w:start w:val="0"/>
      <w:numFmt w:val="decimal"/>
      <w:lvlText w:val=""/>
      <w:lvlJc w:val="left"/>
      <w:pPr>
        <w:tabs>
          <w:tab w:val="num" w:pos="0"/>
        </w:tabs>
        <w:ind w:left="0" w:hanging="0"/>
      </w:pPr>
      <w:rPr>
        <w:rFonts w:cs="Times New Roman"/>
      </w:rPr>
    </w:lvl>
  </w:abstractNum>
  <w:abstractNum w:abstractNumId="6">
    <w:lvl w:ilvl="0">
      <w:start w:val="1"/>
      <w:numFmt w:val="lowerLetter"/>
      <w:lvlText w:val="%1)"/>
      <w:lvlJc w:val="left"/>
      <w:pPr>
        <w:tabs>
          <w:tab w:val="num" w:pos="0"/>
        </w:tabs>
        <w:ind w:left="720" w:hanging="360"/>
      </w:pPr>
      <w:rPr>
        <w:b/>
        <w:bC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370" w:hanging="360"/>
      </w:pPr>
      <w:rPr/>
    </w:lvl>
    <w:lvl w:ilvl="1">
      <w:start w:val="1"/>
      <w:numFmt w:val="lowerLetter"/>
      <w:lvlText w:val="%2."/>
      <w:lvlJc w:val="left"/>
      <w:pPr>
        <w:tabs>
          <w:tab w:val="num" w:pos="0"/>
        </w:tabs>
        <w:ind w:left="1090" w:hanging="360"/>
      </w:pPr>
      <w:rPr/>
    </w:lvl>
    <w:lvl w:ilvl="2">
      <w:start w:val="1"/>
      <w:numFmt w:val="lowerRoman"/>
      <w:lvlText w:val="%3."/>
      <w:lvlJc w:val="right"/>
      <w:pPr>
        <w:tabs>
          <w:tab w:val="num" w:pos="0"/>
        </w:tabs>
        <w:ind w:left="1810" w:hanging="180"/>
      </w:pPr>
      <w:rPr/>
    </w:lvl>
    <w:lvl w:ilvl="3">
      <w:start w:val="1"/>
      <w:numFmt w:val="decimal"/>
      <w:lvlText w:val="%4."/>
      <w:lvlJc w:val="left"/>
      <w:pPr>
        <w:tabs>
          <w:tab w:val="num" w:pos="0"/>
        </w:tabs>
        <w:ind w:left="2530" w:hanging="360"/>
      </w:pPr>
      <w:rPr/>
    </w:lvl>
    <w:lvl w:ilvl="4">
      <w:start w:val="1"/>
      <w:numFmt w:val="lowerLetter"/>
      <w:lvlText w:val="%5."/>
      <w:lvlJc w:val="left"/>
      <w:pPr>
        <w:tabs>
          <w:tab w:val="num" w:pos="0"/>
        </w:tabs>
        <w:ind w:left="3250" w:hanging="360"/>
      </w:pPr>
      <w:rPr/>
    </w:lvl>
    <w:lvl w:ilvl="5">
      <w:start w:val="1"/>
      <w:numFmt w:val="lowerRoman"/>
      <w:lvlText w:val="%6."/>
      <w:lvlJc w:val="right"/>
      <w:pPr>
        <w:tabs>
          <w:tab w:val="num" w:pos="0"/>
        </w:tabs>
        <w:ind w:left="3970" w:hanging="180"/>
      </w:pPr>
      <w:rPr/>
    </w:lvl>
    <w:lvl w:ilvl="6">
      <w:start w:val="1"/>
      <w:numFmt w:val="decimal"/>
      <w:lvlText w:val="%7."/>
      <w:lvlJc w:val="left"/>
      <w:pPr>
        <w:tabs>
          <w:tab w:val="num" w:pos="0"/>
        </w:tabs>
        <w:ind w:left="4690" w:hanging="360"/>
      </w:pPr>
      <w:rPr/>
    </w:lvl>
    <w:lvl w:ilvl="7">
      <w:start w:val="1"/>
      <w:numFmt w:val="lowerLetter"/>
      <w:lvlText w:val="%8."/>
      <w:lvlJc w:val="left"/>
      <w:pPr>
        <w:tabs>
          <w:tab w:val="num" w:pos="0"/>
        </w:tabs>
        <w:ind w:left="5410" w:hanging="360"/>
      </w:pPr>
      <w:rPr/>
    </w:lvl>
    <w:lvl w:ilvl="8">
      <w:start w:val="1"/>
      <w:numFmt w:val="lowerRoman"/>
      <w:lvlText w:val="%9."/>
      <w:lvlJc w:val="right"/>
      <w:pPr>
        <w:tabs>
          <w:tab w:val="num" w:pos="0"/>
        </w:tabs>
        <w:ind w:left="6130" w:hanging="180"/>
      </w:pPr>
      <w:rPr/>
    </w:lvl>
  </w:abstractNum>
  <w:abstractNum w:abstractNumId="9">
    <w:lvl w:ilvl="0">
      <w:start w:val="1"/>
      <w:numFmt w:val="lowerLetter"/>
      <w:lvlText w:val="%1)"/>
      <w:lvlJc w:val="left"/>
      <w:pPr>
        <w:tabs>
          <w:tab w:val="num" w:pos="0"/>
        </w:tabs>
        <w:ind w:left="1399" w:hanging="360"/>
      </w:pPr>
      <w:rPr>
        <w:b w:val="false"/>
        <w:bCs w:val="false"/>
      </w:rPr>
    </w:lvl>
    <w:lvl w:ilvl="1">
      <w:start w:val="1"/>
      <w:numFmt w:val="lowerLetter"/>
      <w:lvlText w:val="%2."/>
      <w:lvlJc w:val="left"/>
      <w:pPr>
        <w:tabs>
          <w:tab w:val="num" w:pos="0"/>
        </w:tabs>
        <w:ind w:left="2130" w:hanging="360"/>
      </w:pPr>
      <w:rPr/>
    </w:lvl>
    <w:lvl w:ilvl="2">
      <w:start w:val="1"/>
      <w:numFmt w:val="lowerRoman"/>
      <w:lvlText w:val="%3."/>
      <w:lvlJc w:val="right"/>
      <w:pPr>
        <w:tabs>
          <w:tab w:val="num" w:pos="0"/>
        </w:tabs>
        <w:ind w:left="2850" w:hanging="180"/>
      </w:pPr>
      <w:rPr/>
    </w:lvl>
    <w:lvl w:ilvl="3">
      <w:start w:val="1"/>
      <w:numFmt w:val="decimal"/>
      <w:lvlText w:val="%4."/>
      <w:lvlJc w:val="left"/>
      <w:pPr>
        <w:tabs>
          <w:tab w:val="num" w:pos="0"/>
        </w:tabs>
        <w:ind w:left="3570" w:hanging="360"/>
      </w:pPr>
      <w:rPr/>
    </w:lvl>
    <w:lvl w:ilvl="4">
      <w:start w:val="1"/>
      <w:numFmt w:val="lowerLetter"/>
      <w:lvlText w:val="%5."/>
      <w:lvlJc w:val="left"/>
      <w:pPr>
        <w:tabs>
          <w:tab w:val="num" w:pos="0"/>
        </w:tabs>
        <w:ind w:left="4290" w:hanging="360"/>
      </w:pPr>
      <w:rPr/>
    </w:lvl>
    <w:lvl w:ilvl="5">
      <w:start w:val="1"/>
      <w:numFmt w:val="lowerRoman"/>
      <w:lvlText w:val="%6."/>
      <w:lvlJc w:val="right"/>
      <w:pPr>
        <w:tabs>
          <w:tab w:val="num" w:pos="0"/>
        </w:tabs>
        <w:ind w:left="5010" w:hanging="180"/>
      </w:pPr>
      <w:rPr/>
    </w:lvl>
    <w:lvl w:ilvl="6">
      <w:start w:val="1"/>
      <w:numFmt w:val="decimal"/>
      <w:lvlText w:val="%7."/>
      <w:lvlJc w:val="left"/>
      <w:pPr>
        <w:tabs>
          <w:tab w:val="num" w:pos="0"/>
        </w:tabs>
        <w:ind w:left="5730" w:hanging="360"/>
      </w:pPr>
      <w:rPr/>
    </w:lvl>
    <w:lvl w:ilvl="7">
      <w:start w:val="1"/>
      <w:numFmt w:val="lowerLetter"/>
      <w:lvlText w:val="%8."/>
      <w:lvlJc w:val="left"/>
      <w:pPr>
        <w:tabs>
          <w:tab w:val="num" w:pos="0"/>
        </w:tabs>
        <w:ind w:left="6450" w:hanging="360"/>
      </w:pPr>
      <w:rPr/>
    </w:lvl>
    <w:lvl w:ilvl="8">
      <w:start w:val="1"/>
      <w:numFmt w:val="lowerRoman"/>
      <w:lvlText w:val="%9."/>
      <w:lvlJc w:val="right"/>
      <w:pPr>
        <w:tabs>
          <w:tab w:val="num" w:pos="0"/>
        </w:tabs>
        <w:ind w:left="7170" w:hanging="180"/>
      </w:pPr>
      <w:rPr/>
    </w:lvl>
  </w:abstractNum>
  <w:abstractNum w:abstractNumId="10">
    <w:lvl w:ilvl="0">
      <w:start w:val="1"/>
      <w:numFmt w:val="decimal"/>
      <w:lvlText w:val="%1)"/>
      <w:lvlJc w:val="left"/>
      <w:pPr>
        <w:tabs>
          <w:tab w:val="num" w:pos="0"/>
        </w:tabs>
        <w:ind w:left="1494" w:hanging="360"/>
      </w:pPr>
      <w:rPr/>
    </w:lvl>
    <w:lvl w:ilvl="1">
      <w:start w:val="1"/>
      <w:numFmt w:val="lowerLetter"/>
      <w:lvlText w:val="%2."/>
      <w:lvlJc w:val="left"/>
      <w:pPr>
        <w:tabs>
          <w:tab w:val="num" w:pos="0"/>
        </w:tabs>
        <w:ind w:left="2214" w:hanging="360"/>
      </w:pPr>
      <w:rPr/>
    </w:lvl>
    <w:lvl w:ilvl="2">
      <w:start w:val="1"/>
      <w:numFmt w:val="lowerRoman"/>
      <w:lvlText w:val="%3."/>
      <w:lvlJc w:val="right"/>
      <w:pPr>
        <w:tabs>
          <w:tab w:val="num" w:pos="0"/>
        </w:tabs>
        <w:ind w:left="2934" w:hanging="180"/>
      </w:pPr>
      <w:rPr/>
    </w:lvl>
    <w:lvl w:ilvl="3">
      <w:start w:val="1"/>
      <w:numFmt w:val="decimal"/>
      <w:lvlText w:val="%4."/>
      <w:lvlJc w:val="left"/>
      <w:pPr>
        <w:tabs>
          <w:tab w:val="num" w:pos="0"/>
        </w:tabs>
        <w:ind w:left="3654" w:hanging="360"/>
      </w:pPr>
      <w:rPr/>
    </w:lvl>
    <w:lvl w:ilvl="4">
      <w:start w:val="1"/>
      <w:numFmt w:val="lowerLetter"/>
      <w:lvlText w:val="%5."/>
      <w:lvlJc w:val="left"/>
      <w:pPr>
        <w:tabs>
          <w:tab w:val="num" w:pos="0"/>
        </w:tabs>
        <w:ind w:left="4374" w:hanging="360"/>
      </w:pPr>
      <w:rPr/>
    </w:lvl>
    <w:lvl w:ilvl="5">
      <w:start w:val="1"/>
      <w:numFmt w:val="lowerRoman"/>
      <w:lvlText w:val="%6."/>
      <w:lvlJc w:val="right"/>
      <w:pPr>
        <w:tabs>
          <w:tab w:val="num" w:pos="0"/>
        </w:tabs>
        <w:ind w:left="5094" w:hanging="180"/>
      </w:pPr>
      <w:rPr/>
    </w:lvl>
    <w:lvl w:ilvl="6">
      <w:start w:val="1"/>
      <w:numFmt w:val="decimal"/>
      <w:lvlText w:val="%7."/>
      <w:lvlJc w:val="left"/>
      <w:pPr>
        <w:tabs>
          <w:tab w:val="num" w:pos="0"/>
        </w:tabs>
        <w:ind w:left="5814" w:hanging="360"/>
      </w:pPr>
      <w:rPr/>
    </w:lvl>
    <w:lvl w:ilvl="7">
      <w:start w:val="1"/>
      <w:numFmt w:val="lowerLetter"/>
      <w:lvlText w:val="%8."/>
      <w:lvlJc w:val="left"/>
      <w:pPr>
        <w:tabs>
          <w:tab w:val="num" w:pos="0"/>
        </w:tabs>
        <w:ind w:left="6534" w:hanging="360"/>
      </w:pPr>
      <w:rPr/>
    </w:lvl>
    <w:lvl w:ilvl="8">
      <w:start w:val="1"/>
      <w:numFmt w:val="lowerRoman"/>
      <w:lvlText w:val="%9."/>
      <w:lvlJc w:val="right"/>
      <w:pPr>
        <w:tabs>
          <w:tab w:val="num" w:pos="0"/>
        </w:tabs>
        <w:ind w:left="7254" w:hanging="180"/>
      </w:pPr>
      <w:rPr/>
    </w:lvl>
  </w:abstractNum>
  <w:abstractNum w:abstractNumId="11">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6"/>
    <w:lvlOverride w:ilvl="0">
      <w:startOverride w:val="1"/>
    </w:lvlOverride>
  </w:num>
  <w:num w:numId="14">
    <w:abstractNumId w:val="7"/>
    <w:lvlOverride w:ilvl="0">
      <w:startOverride w:val="1"/>
    </w:lvlOverride>
  </w:num>
  <w:num w:numId="15">
    <w:abstractNumId w:val="8"/>
    <w:lvlOverride w:ilvl="0">
      <w:startOverride w:val="1"/>
    </w:lvlOverride>
  </w:num>
  <w:num w:numId="16">
    <w:abstractNumId w:val="9"/>
    <w:lvlOverride w:ilvl="0">
      <w:startOverride w:val="1"/>
    </w:lvlOverride>
  </w:num>
  <w:num w:numId="17">
    <w:abstractNumId w:val="10"/>
    <w:lvlOverride w:ilvl="0">
      <w:startOverride w:val="1"/>
    </w:lvlOverride>
  </w:num>
</w:numbering>
</file>

<file path=word/settings.xml><?xml version="1.0" encoding="utf-8"?>
<w:settings xmlns:w="http://schemas.openxmlformats.org/wordprocessingml/2006/main">
  <w:zoom w:percent="15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Aptos" w:hAnsi="Aptos" w:eastAsia="Aptos" w:cs="" w:asciiTheme="minorHAnsi" w:cstheme="minorBidi" w:eastAsiaTheme="minorHAnsi" w:hAnsiTheme="minorHAnsi"/>
      <w:color w:val="auto"/>
      <w:kern w:val="2"/>
      <w:sz w:val="22"/>
      <w:szCs w:val="22"/>
      <w:lang w:val="it-IT" w:eastAsia="en-US" w:bidi="ar-SA"/>
      <w14:ligatures w14:val="standardContextual"/>
    </w:rPr>
  </w:style>
  <w:style w:type="paragraph" w:styleId="Titolo1">
    <w:name w:val="Heading 1"/>
    <w:basedOn w:val="Normal"/>
    <w:next w:val="Normal"/>
    <w:link w:val="Titolo1Carattere"/>
    <w:uiPriority w:val="9"/>
    <w:qFormat/>
    <w:rsid w:val="00953d89"/>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Titolo2">
    <w:name w:val="Heading 2"/>
    <w:basedOn w:val="Normal"/>
    <w:next w:val="Normal"/>
    <w:link w:val="Titolo2Carattere"/>
    <w:uiPriority w:val="9"/>
    <w:semiHidden/>
    <w:unhideWhenUsed/>
    <w:qFormat/>
    <w:rsid w:val="00953d89"/>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Titolo3">
    <w:name w:val="Heading 3"/>
    <w:basedOn w:val="Normal"/>
    <w:next w:val="Normal"/>
    <w:link w:val="Titolo3Carattere"/>
    <w:uiPriority w:val="9"/>
    <w:semiHidden/>
    <w:unhideWhenUsed/>
    <w:qFormat/>
    <w:rsid w:val="00953d89"/>
    <w:pPr>
      <w:keepNext w:val="true"/>
      <w:keepLines/>
      <w:spacing w:before="160" w:after="80"/>
      <w:outlineLvl w:val="2"/>
    </w:pPr>
    <w:rPr>
      <w:rFonts w:eastAsia="" w:cs="" w:cstheme="majorBidi" w:eastAsiaTheme="majorEastAsia"/>
      <w:color w:val="0F4761" w:themeColor="accent1" w:themeShade="bf"/>
      <w:sz w:val="28"/>
      <w:szCs w:val="28"/>
    </w:rPr>
  </w:style>
  <w:style w:type="paragraph" w:styleId="Titolo4">
    <w:name w:val="Heading 4"/>
    <w:basedOn w:val="Normal"/>
    <w:next w:val="Normal"/>
    <w:link w:val="Titolo4Carattere"/>
    <w:uiPriority w:val="9"/>
    <w:semiHidden/>
    <w:unhideWhenUsed/>
    <w:qFormat/>
    <w:rsid w:val="00953d89"/>
    <w:pPr>
      <w:keepNext w:val="true"/>
      <w:keepLines/>
      <w:spacing w:before="80" w:after="40"/>
      <w:outlineLvl w:val="3"/>
    </w:pPr>
    <w:rPr>
      <w:rFonts w:eastAsia="" w:cs="" w:cstheme="majorBidi" w:eastAsiaTheme="majorEastAsia"/>
      <w:i/>
      <w:iCs/>
      <w:color w:val="0F4761" w:themeColor="accent1" w:themeShade="bf"/>
    </w:rPr>
  </w:style>
  <w:style w:type="paragraph" w:styleId="Titolo5">
    <w:name w:val="Heading 5"/>
    <w:basedOn w:val="Normal"/>
    <w:next w:val="Normal"/>
    <w:link w:val="Titolo5Carattere"/>
    <w:uiPriority w:val="9"/>
    <w:semiHidden/>
    <w:unhideWhenUsed/>
    <w:qFormat/>
    <w:rsid w:val="00953d89"/>
    <w:pPr>
      <w:keepNext w:val="true"/>
      <w:keepLines/>
      <w:spacing w:before="80" w:after="40"/>
      <w:outlineLvl w:val="4"/>
    </w:pPr>
    <w:rPr>
      <w:rFonts w:eastAsia="" w:cs="" w:cstheme="majorBidi" w:eastAsiaTheme="majorEastAsia"/>
      <w:color w:val="0F4761" w:themeColor="accent1" w:themeShade="bf"/>
    </w:rPr>
  </w:style>
  <w:style w:type="paragraph" w:styleId="Titolo6">
    <w:name w:val="Heading 6"/>
    <w:basedOn w:val="Normal"/>
    <w:next w:val="Normal"/>
    <w:link w:val="Titolo6Carattere"/>
    <w:uiPriority w:val="9"/>
    <w:semiHidden/>
    <w:unhideWhenUsed/>
    <w:qFormat/>
    <w:rsid w:val="00953d89"/>
    <w:pPr>
      <w:keepNext w:val="true"/>
      <w:keepLines/>
      <w:spacing w:before="40" w:after="0"/>
      <w:outlineLvl w:val="5"/>
    </w:pPr>
    <w:rPr>
      <w:rFonts w:eastAsia="" w:cs="" w:cstheme="majorBidi" w:eastAsiaTheme="majorEastAsia"/>
      <w:i/>
      <w:iCs/>
      <w:color w:val="595959" w:themeColor="text1" w:themeTint="a6"/>
    </w:rPr>
  </w:style>
  <w:style w:type="paragraph" w:styleId="Titolo7">
    <w:name w:val="Heading 7"/>
    <w:basedOn w:val="Normal"/>
    <w:next w:val="Normal"/>
    <w:link w:val="Titolo7Carattere"/>
    <w:uiPriority w:val="9"/>
    <w:semiHidden/>
    <w:unhideWhenUsed/>
    <w:qFormat/>
    <w:rsid w:val="00953d89"/>
    <w:pPr>
      <w:keepNext w:val="true"/>
      <w:keepLines/>
      <w:spacing w:before="40" w:after="0"/>
      <w:outlineLvl w:val="6"/>
    </w:pPr>
    <w:rPr>
      <w:rFonts w:eastAsia="" w:cs="" w:cstheme="majorBidi" w:eastAsiaTheme="majorEastAsia"/>
      <w:color w:val="595959" w:themeColor="text1" w:themeTint="a6"/>
    </w:rPr>
  </w:style>
  <w:style w:type="paragraph" w:styleId="Titolo8">
    <w:name w:val="Heading 8"/>
    <w:basedOn w:val="Normal"/>
    <w:next w:val="Normal"/>
    <w:link w:val="Titolo8Carattere"/>
    <w:uiPriority w:val="9"/>
    <w:semiHidden/>
    <w:unhideWhenUsed/>
    <w:qFormat/>
    <w:rsid w:val="00953d89"/>
    <w:pPr>
      <w:keepNext w:val="true"/>
      <w:keepLines/>
      <w:spacing w:before="0" w:after="0"/>
      <w:outlineLvl w:val="7"/>
    </w:pPr>
    <w:rPr>
      <w:rFonts w:eastAsia="" w:cs="" w:cstheme="majorBidi" w:eastAsiaTheme="majorEastAsia"/>
      <w:i/>
      <w:iCs/>
      <w:color w:val="272727" w:themeColor="text1" w:themeTint="d8"/>
    </w:rPr>
  </w:style>
  <w:style w:type="paragraph" w:styleId="Titolo9">
    <w:name w:val="Heading 9"/>
    <w:basedOn w:val="Normal"/>
    <w:next w:val="Normal"/>
    <w:link w:val="Titolo9Carattere"/>
    <w:uiPriority w:val="9"/>
    <w:semiHidden/>
    <w:unhideWhenUsed/>
    <w:qFormat/>
    <w:rsid w:val="00953d89"/>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uiPriority w:val="9"/>
    <w:qFormat/>
    <w:rsid w:val="00953d89"/>
    <w:rPr>
      <w:rFonts w:ascii="Aptos Display" w:hAnsi="Aptos Display" w:eastAsia="" w:cs="" w:asciiTheme="majorHAnsi" w:cstheme="majorBidi" w:eastAsiaTheme="majorEastAsia" w:hAnsiTheme="majorHAnsi"/>
      <w:color w:val="0F4761" w:themeColor="accent1" w:themeShade="bf"/>
      <w:sz w:val="40"/>
      <w:szCs w:val="40"/>
    </w:rPr>
  </w:style>
  <w:style w:type="character" w:styleId="Titolo2Carattere" w:customStyle="1">
    <w:name w:val="Titolo 2 Carattere"/>
    <w:basedOn w:val="DefaultParagraphFont"/>
    <w:uiPriority w:val="9"/>
    <w:semiHidden/>
    <w:qFormat/>
    <w:rsid w:val="00953d89"/>
    <w:rPr>
      <w:rFonts w:ascii="Aptos Display" w:hAnsi="Aptos Display" w:eastAsia="" w:cs="" w:asciiTheme="majorHAnsi" w:cstheme="majorBidi" w:eastAsiaTheme="majorEastAsia" w:hAnsiTheme="majorHAnsi"/>
      <w:color w:val="0F4761" w:themeColor="accent1" w:themeShade="bf"/>
      <w:sz w:val="32"/>
      <w:szCs w:val="32"/>
    </w:rPr>
  </w:style>
  <w:style w:type="character" w:styleId="Titolo3Carattere" w:customStyle="1">
    <w:name w:val="Titolo 3 Carattere"/>
    <w:basedOn w:val="DefaultParagraphFont"/>
    <w:uiPriority w:val="9"/>
    <w:semiHidden/>
    <w:qFormat/>
    <w:rsid w:val="00953d89"/>
    <w:rPr>
      <w:rFonts w:eastAsia="" w:cs="" w:cstheme="majorBidi" w:eastAsiaTheme="majorEastAsia"/>
      <w:color w:val="0F4761" w:themeColor="accent1" w:themeShade="bf"/>
      <w:sz w:val="28"/>
      <w:szCs w:val="28"/>
    </w:rPr>
  </w:style>
  <w:style w:type="character" w:styleId="Titolo4Carattere" w:customStyle="1">
    <w:name w:val="Titolo 4 Carattere"/>
    <w:basedOn w:val="DefaultParagraphFont"/>
    <w:uiPriority w:val="9"/>
    <w:semiHidden/>
    <w:qFormat/>
    <w:rsid w:val="00953d89"/>
    <w:rPr>
      <w:rFonts w:eastAsia="" w:cs="" w:cstheme="majorBidi" w:eastAsiaTheme="majorEastAsia"/>
      <w:i/>
      <w:iCs/>
      <w:color w:val="0F4761" w:themeColor="accent1" w:themeShade="bf"/>
    </w:rPr>
  </w:style>
  <w:style w:type="character" w:styleId="Titolo5Carattere" w:customStyle="1">
    <w:name w:val="Titolo 5 Carattere"/>
    <w:basedOn w:val="DefaultParagraphFont"/>
    <w:uiPriority w:val="9"/>
    <w:semiHidden/>
    <w:qFormat/>
    <w:rsid w:val="00953d89"/>
    <w:rPr>
      <w:rFonts w:eastAsia="" w:cs="" w:cstheme="majorBidi" w:eastAsiaTheme="majorEastAsia"/>
      <w:color w:val="0F4761" w:themeColor="accent1" w:themeShade="bf"/>
    </w:rPr>
  </w:style>
  <w:style w:type="character" w:styleId="Titolo6Carattere" w:customStyle="1">
    <w:name w:val="Titolo 6 Carattere"/>
    <w:basedOn w:val="DefaultParagraphFont"/>
    <w:uiPriority w:val="9"/>
    <w:semiHidden/>
    <w:qFormat/>
    <w:rsid w:val="00953d89"/>
    <w:rPr>
      <w:rFonts w:eastAsia="" w:cs="" w:cstheme="majorBidi" w:eastAsiaTheme="majorEastAsia"/>
      <w:i/>
      <w:iCs/>
      <w:color w:val="595959" w:themeColor="text1" w:themeTint="a6"/>
    </w:rPr>
  </w:style>
  <w:style w:type="character" w:styleId="Titolo7Carattere" w:customStyle="1">
    <w:name w:val="Titolo 7 Carattere"/>
    <w:basedOn w:val="DefaultParagraphFont"/>
    <w:uiPriority w:val="9"/>
    <w:semiHidden/>
    <w:qFormat/>
    <w:rsid w:val="00953d89"/>
    <w:rPr>
      <w:rFonts w:eastAsia="" w:cs="" w:cstheme="majorBidi" w:eastAsiaTheme="majorEastAsia"/>
      <w:color w:val="595959" w:themeColor="text1" w:themeTint="a6"/>
    </w:rPr>
  </w:style>
  <w:style w:type="character" w:styleId="Titolo8Carattere" w:customStyle="1">
    <w:name w:val="Titolo 8 Carattere"/>
    <w:basedOn w:val="DefaultParagraphFont"/>
    <w:uiPriority w:val="9"/>
    <w:semiHidden/>
    <w:qFormat/>
    <w:rsid w:val="00953d89"/>
    <w:rPr>
      <w:rFonts w:eastAsia="" w:cs="" w:cstheme="majorBidi" w:eastAsiaTheme="majorEastAsia"/>
      <w:i/>
      <w:iCs/>
      <w:color w:val="272727" w:themeColor="text1" w:themeTint="d8"/>
    </w:rPr>
  </w:style>
  <w:style w:type="character" w:styleId="Titolo9Carattere" w:customStyle="1">
    <w:name w:val="Titolo 9 Carattere"/>
    <w:basedOn w:val="DefaultParagraphFont"/>
    <w:uiPriority w:val="9"/>
    <w:semiHidden/>
    <w:qFormat/>
    <w:rsid w:val="00953d89"/>
    <w:rPr>
      <w:rFonts w:eastAsia="" w:cs="" w:cstheme="majorBidi" w:eastAsiaTheme="majorEastAsia"/>
      <w:color w:val="272727" w:themeColor="text1" w:themeTint="d8"/>
    </w:rPr>
  </w:style>
  <w:style w:type="character" w:styleId="TitoloCarattere" w:customStyle="1">
    <w:name w:val="Titolo Carattere"/>
    <w:basedOn w:val="DefaultParagraphFont"/>
    <w:uiPriority w:val="10"/>
    <w:qFormat/>
    <w:rsid w:val="00953d89"/>
    <w:rPr>
      <w:rFonts w:ascii="Aptos Display" w:hAnsi="Aptos Display" w:eastAsia="" w:c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uiPriority w:val="11"/>
    <w:qFormat/>
    <w:rsid w:val="00953d89"/>
    <w:rPr>
      <w:rFonts w:eastAsia="" w:cs="" w:cstheme="majorBidi" w:eastAsiaTheme="majorEastAsia"/>
      <w:color w:val="595959" w:themeColor="text1" w:themeTint="a6"/>
      <w:spacing w:val="15"/>
      <w:sz w:val="28"/>
      <w:szCs w:val="28"/>
    </w:rPr>
  </w:style>
  <w:style w:type="character" w:styleId="CitazioneCarattere" w:customStyle="1">
    <w:name w:val="Citazione Carattere"/>
    <w:basedOn w:val="DefaultParagraphFont"/>
    <w:link w:val="Quote"/>
    <w:uiPriority w:val="29"/>
    <w:qFormat/>
    <w:rsid w:val="00953d89"/>
    <w:rPr>
      <w:i/>
      <w:iCs/>
      <w:color w:val="404040" w:themeColor="text1" w:themeTint="bf"/>
    </w:rPr>
  </w:style>
  <w:style w:type="character" w:styleId="IntenseEmphasis">
    <w:name w:val="Intense Emphasis"/>
    <w:basedOn w:val="DefaultParagraphFont"/>
    <w:uiPriority w:val="21"/>
    <w:qFormat/>
    <w:rsid w:val="00953d89"/>
    <w:rPr>
      <w:i/>
      <w:iCs/>
      <w:color w:val="0F4761" w:themeColor="accent1" w:themeShade="bf"/>
    </w:rPr>
  </w:style>
  <w:style w:type="character" w:styleId="CitazioneintensaCarattere" w:customStyle="1">
    <w:name w:val="Citazione intensa Carattere"/>
    <w:basedOn w:val="DefaultParagraphFont"/>
    <w:link w:val="IntenseQuote"/>
    <w:uiPriority w:val="30"/>
    <w:qFormat/>
    <w:rsid w:val="00953d89"/>
    <w:rPr>
      <w:i/>
      <w:iCs/>
      <w:color w:val="0F4761" w:themeColor="accent1" w:themeShade="bf"/>
    </w:rPr>
  </w:style>
  <w:style w:type="character" w:styleId="IntenseReference">
    <w:name w:val="Intense Reference"/>
    <w:basedOn w:val="DefaultParagraphFont"/>
    <w:uiPriority w:val="32"/>
    <w:qFormat/>
    <w:rsid w:val="00953d89"/>
    <w:rPr>
      <w:b/>
      <w:bCs/>
      <w:smallCaps/>
      <w:color w:val="0F4761" w:themeColor="accent1" w:themeShade="bf"/>
      <w:spacing w:val="5"/>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principale">
    <w:name w:val="Title"/>
    <w:basedOn w:val="Normal"/>
    <w:next w:val="Normal"/>
    <w:link w:val="TitoloCarattere"/>
    <w:uiPriority w:val="10"/>
    <w:qFormat/>
    <w:rsid w:val="00953d89"/>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ottotitolo">
    <w:name w:val="Subtitle"/>
    <w:basedOn w:val="Normal"/>
    <w:next w:val="Normal"/>
    <w:link w:val="SottotitoloCarattere"/>
    <w:uiPriority w:val="11"/>
    <w:qFormat/>
    <w:rsid w:val="00953d89"/>
    <w:pPr/>
    <w:rPr>
      <w:rFonts w:eastAsia="" w:cs="" w:cstheme="majorBidi" w:eastAsiaTheme="majorEastAsia"/>
      <w:color w:val="595959" w:themeColor="text1" w:themeTint="a6"/>
      <w:spacing w:val="15"/>
      <w:sz w:val="28"/>
      <w:szCs w:val="28"/>
    </w:rPr>
  </w:style>
  <w:style w:type="paragraph" w:styleId="Quote">
    <w:name w:val="Quote"/>
    <w:basedOn w:val="Normal"/>
    <w:next w:val="Normal"/>
    <w:link w:val="CitazioneCarattere"/>
    <w:uiPriority w:val="29"/>
    <w:qFormat/>
    <w:rsid w:val="00953d89"/>
    <w:pPr>
      <w:spacing w:before="160" w:after="160"/>
      <w:jc w:val="center"/>
    </w:pPr>
    <w:rPr>
      <w:i/>
      <w:iCs/>
      <w:color w:val="404040" w:themeColor="text1" w:themeTint="bf"/>
    </w:rPr>
  </w:style>
  <w:style w:type="paragraph" w:styleId="ListParagraph">
    <w:name w:val="List Paragraph"/>
    <w:basedOn w:val="Normal"/>
    <w:uiPriority w:val="34"/>
    <w:qFormat/>
    <w:rsid w:val="00953d89"/>
    <w:pPr>
      <w:spacing w:before="0" w:after="160"/>
      <w:ind w:left="720" w:hanging="0"/>
      <w:contextualSpacing/>
    </w:pPr>
    <w:rPr/>
  </w:style>
  <w:style w:type="paragraph" w:styleId="IntenseQuote">
    <w:name w:val="Intense Quote"/>
    <w:basedOn w:val="Normal"/>
    <w:next w:val="Normal"/>
    <w:link w:val="CitazioneintensaCarattere"/>
    <w:uiPriority w:val="30"/>
    <w:qFormat/>
    <w:rsid w:val="00953d89"/>
    <w:pPr>
      <w:pBdr>
        <w:top w:val="single" w:sz="4" w:space="10" w:color="0F4761"/>
        <w:bottom w:val="single" w:sz="4" w:space="10" w:color="0F4761"/>
      </w:pBdr>
      <w:spacing w:before="360" w:after="360"/>
      <w:ind w:left="864" w:right="864" w:hanging="0"/>
      <w:jc w:val="center"/>
    </w:pPr>
    <w:rPr>
      <w:i/>
      <w:iCs/>
      <w:color w:val="0F4761" w:themeColor="accent1" w:themeShade="bf"/>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081460"/>
    <w:pPr>
      <w:spacing w:after="0" w:line="240" w:lineRule="auto"/>
    </w:pPr>
    <w:rPr>
      <w:lang w:eastAsia="it-IT"/>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Application>LibreOffice/7.5.1.2$Windows_X86_64 LibreOffice_project/fcbaee479e84c6cd81291587d2ee68cba099e129</Application>
  <AppVersion>15.0000</AppVersion>
  <Pages>8</Pages>
  <Words>2599</Words>
  <Characters>15103</Characters>
  <CharactersWithSpaces>17553</CharactersWithSpaces>
  <Paragraphs>110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2025-04-10T08:59:00Z</dcterms:created>
  <dc:creator>Michelina Bocale</dc:creator>
  <dc:description/>
  <dc:language>it-IT</dc:language>
  <cp:lastModifiedBy/>
  <dcterms:modified xsi:type="dcterms:W3CDTF">2025-06-16T12:00:17Z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