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PATTO DIGITALE DI COMUNITÀ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PROTOCOLLO D’INTESA 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TRA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PREFETTURA - UFFICIO TERRITORIALE DEL GOVERNO DI VARESE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Varese, Piazza Libertà n. 1, C.F. 80014740122,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Prefetto Dott. Salvatore Rosario Pasquariello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PROVINCIA DI VARESE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>Con sede in Piazza Libertà 1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Presidente dott. Marco Magrini 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UFFICIO SCOLASTICO TERRITORIALE DI VARESE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Varese, Via Copelli n. 1, C.F. 80010960120,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Dirigente Dott. Giuseppe Carcano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UNIVERSITÀ DEGLI STUDI DELL’INSUBRIA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legale in Varese, Via Ravasi n. 2, C.F. 95039180120,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Rettrice Prof.ssa Maria Pierro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UNIVERSITÀ CARLO CATTANEO - LIUC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legale in Castellanza, Corso Matteotti n. 22, C.F. 02015300128,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Rettrice Prof.ssa Anna Gervasoni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COMUNE DI MALNATE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Malnate, Piazza Vittorio Veneto n. 2, C.F. 00243280120, nella persona del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Sindaca Prof.ssa Nadia Cannito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COMUNE DI VENEGONO INFERIORE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Venegono Inferiore, Via Mauceri n. 5, C.F. 00309250124,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Sindaco Dott. Mattia Premazzi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COMUNE DI VENEGONO SUPERIORE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Venegono Superiore, Piazza Mauceri n. 12, C.F. 00223680125, nella persona del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Sindaco Avv. Walter Fabiano Lorenzin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E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PRESIDENTE CAMERA DI COMMERCIO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in P.za Monte Grappa 5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Presidente della Camera di Commercio di Varese Dott. Mauro Vitiello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PREMESSA, CONTESTO GIURIDICO E TEMA DEL PROTOCOLLO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presente Protocollo d’Intesa è volto a sostenere e promuovere azioni sistematiche di prevenzione del disagio giovanile mediante la diffusione di pratiche orientate a un uso consapevole, sicuro e responsabile delle tecnologie digitali e degli ambienti online, ivi inclusi, a titolo esemplificativo e non esaustivo, i </w:t>
      </w:r>
      <w:r>
        <w:rPr>
          <w:rFonts w:cs="Times New Roman" w:ascii="Times New Roman" w:hAnsi="Times New Roman"/>
          <w:i/>
          <w:iCs/>
        </w:rPr>
        <w:t>social media</w:t>
      </w:r>
      <w:r>
        <w:rPr>
          <w:rFonts w:cs="Times New Roman" w:ascii="Times New Roman" w:hAnsi="Times New Roman"/>
        </w:rPr>
        <w:t xml:space="preserve">, i cosiddetti </w:t>
      </w:r>
      <w:r>
        <w:rPr>
          <w:rFonts w:cs="Times New Roman" w:ascii="Times New Roman" w:hAnsi="Times New Roman"/>
          <w:i/>
          <w:iCs/>
        </w:rPr>
        <w:t>dark pattern</w:t>
      </w:r>
      <w:r>
        <w:rPr>
          <w:rFonts w:cs="Times New Roman" w:ascii="Times New Roman" w:hAnsi="Times New Roman"/>
        </w:rPr>
        <w:t xml:space="preserve">, i contenuti generati da sistemi di intelligenza artificiale, i compagni virtuali e i </w:t>
      </w:r>
      <w:r>
        <w:rPr>
          <w:rFonts w:cs="Times New Roman" w:ascii="Times New Roman" w:hAnsi="Times New Roman"/>
          <w:i/>
          <w:iCs/>
        </w:rPr>
        <w:t>chatbot</w:t>
      </w:r>
      <w:r>
        <w:rPr>
          <w:rFonts w:cs="Times New Roman" w:ascii="Times New Roman" w:hAnsi="Times New Roman"/>
        </w:rPr>
        <w:t xml:space="preserve"> basati su Intelligenza Artificiale, le pratiche di </w:t>
      </w:r>
      <w:r>
        <w:rPr>
          <w:rFonts w:cs="Times New Roman" w:ascii="Times New Roman" w:hAnsi="Times New Roman"/>
          <w:i/>
          <w:iCs/>
        </w:rPr>
        <w:t>gamification</w:t>
      </w:r>
      <w:r>
        <w:rPr>
          <w:rFonts w:cs="Times New Roman" w:ascii="Times New Roman" w:hAnsi="Times New Roman"/>
        </w:rPr>
        <w:t xml:space="preserve">, i giocattoli dotati di sistemi intelligenti e le attività di </w:t>
      </w:r>
      <w:r>
        <w:rPr>
          <w:rFonts w:cs="Times New Roman" w:ascii="Times New Roman" w:hAnsi="Times New Roman"/>
          <w:i/>
          <w:iCs/>
        </w:rPr>
        <w:t>influencer marketing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Protocollo si inserisce nel più ampio quadro giuridico concernente il rapporto tra minore età e nuove tecnologie, caratterizzato da una progressiva estensione degli spazi di autonomia digitale dei minorenni e, al contempo, dal rafforzamento degli obblighi di protezione, vigilanza e responsabilità in capo agli adulti di riferimento, alle istituzioni educative e alle autorità pubbliche.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 tale prospettiva, il concetto stesso di educazione è inteso in senso ampio e comprensivo anche del corretto e consapevole insegnamento all’utilizzo della rete e degli ambienti digitali. L’attività svolta dai minorenni online costituisce oggi una dimensione ordinaria della loro vita quotidiana e può essere considerata, entro limiti adeguati all’età e alla maturità, come uno spazio riservato di libertà e di espressione. Tale condizione comporta, tuttavia, una correlativa esigenza di maggiore attenzione, vigilanza e responsabilità educativa in capo ai genitori e agli adulti di riferimento, nonché un ruolo attivo delle istituzioni nel fornire orientamento, supporto e regole condivise. L’ambiente dei </w:t>
      </w:r>
      <w:r>
        <w:rPr>
          <w:rFonts w:cs="Times New Roman" w:ascii="Times New Roman" w:hAnsi="Times New Roman"/>
          <w:i/>
          <w:iCs/>
        </w:rPr>
        <w:t>social network</w:t>
      </w:r>
      <w:r>
        <w:rPr>
          <w:rFonts w:cs="Times New Roman" w:ascii="Times New Roman" w:hAnsi="Times New Roman"/>
        </w:rPr>
        <w:t xml:space="preserve"> e delle realtà virtuali si configura infatti sempre più come una dimensione parallela e integrata della realtà sociale, con rilevanti implicazioni educative, relazionali e giuridiche.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In tale contesto, assume particolare rilievo il principio dell’accompagnamento progressivo del minore, inteso come percorso graduale di educazione all’autonomia digitale, calibrato sull’età, sul grado di maturità e sulle capacità di discernimento, volto a favorire lo sviluppo di competenze critiche e responsabili nell’uso delle tecnologie.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Parti rilevano, altresì, la necessità di contrastare il rischio di una deresponsabilizzazione dei fornitori di servizi e delle piattaforme digitali, richiamando l’esigenza di una chiara assunzione di responsabilità in ordine alla progettazione degli ambienti online, alla prevenzione dei rischi e alla tutela effettiva dei minorenni, in coerenza con il quadro normativo europeo e nazionale vigente.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Parti riconoscono che la tutela dei minorenni nell’ambiente digitale costituisce una responsabilità condivisa e multilivello, che richiede il coinvolgimento coordinato delle famiglie, delle istituzioni scolastiche, delle autorità pubbliche competenti e dell’intera comunità locale, in coerenza con i principi di protezione dell’interesse superiore del minore, di proporzionalità e di gradualità educativa.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La sottoscrizione del </w:t>
      </w:r>
      <w:r>
        <w:rPr>
          <w:rFonts w:cs="Times New Roman" w:ascii="Times New Roman" w:hAnsi="Times New Roman"/>
          <w:b/>
          <w:bCs/>
        </w:rPr>
        <w:t>Protocollo “Patti Digitali di Comunità”</w:t>
      </w:r>
      <w:r>
        <w:rPr>
          <w:rFonts w:cs="Times New Roman" w:ascii="Times New Roman" w:hAnsi="Times New Roman"/>
        </w:rPr>
        <w:t xml:space="preserve"> risponde all’esigenza di accompagnare famiglie, scuole e territori in un percorso condiviso di educazione digitale e di protezione dei diritti dei minorenni nell’ambiente digitale.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OBIETTIVI E PRINCIPI DI RIFERIMENTO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presente Protocollo d’Intesa persegue, in coerenza con il quadro normativo nazionale ed europeo di riferimento e con i principi giuridici inerenti alla condizione di minorenni nell’ecosistema digitale, i seguenti obiettivi generali e specifici:</w:t>
      </w:r>
    </w:p>
    <w:p>
      <w:pPr>
        <w:pStyle w:val="Normal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promuovere l’alfabetizzazione mediatica e digitale dei minori e delle loro famiglie;</w:t>
      </w:r>
    </w:p>
    <w:p>
      <w:pPr>
        <w:pStyle w:val="Normal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favorire un uso consapevole, sicuro e responsabile delle tecnologie digitali;</w:t>
      </w:r>
    </w:p>
    <w:p>
      <w:pPr>
        <w:pStyle w:val="Normal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rafforzare le alleanze educative tra scuola, famiglia e istituzioni;</w:t>
      </w:r>
    </w:p>
    <w:p>
      <w:pPr>
        <w:pStyle w:val="Normal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fornire ai genitori strumenti concreti per affrontare le sfide della genitorialità nell’era digitale;</w:t>
      </w:r>
    </w:p>
    <w:p>
      <w:pPr>
        <w:pStyle w:val="Normal"/>
        <w:numPr>
          <w:ilvl w:val="0"/>
          <w:numId w:val="1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creare spazi strutturati di confronto e dialogo con esperti, educatori e associazioni del territorio.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Progetto “Patti Digitali di Comunità”, attuato in via sperimentale a partire dall’anno scolastico 2025/2026 nei Comuni di Malnate, Venegono Inferiore e Venegono Superiore, si configura come un impegno collettivo volto alla definizione e alla sottoscrizione di regole condivise tra famiglie, studenti e realtà educative.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VISTI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D.lgs. 16 aprile 1994, n. 297 concernente le disposizioni legislative vigenti in materia di istruzione relative alle scuole di ogni ordine e grado;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la Legge 22 maggio 2017, n. 71 riguardante le “Disposizioni per la prevenzione e il contrasto del cyberbullismo”;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D.lgs. 7 marzo 2005, n. 82 - Codice dell’Amministrazione Digitale </w:t>
      </w:r>
      <w:r>
        <w:rPr>
          <w:rStyle w:val="Strong"/>
          <w:rFonts w:cs="Times New Roman" w:ascii="Times New Roman" w:hAnsi="Times New Roman"/>
          <w:b w:val="false"/>
          <w:bCs w:val="false"/>
        </w:rPr>
        <w:t>che i</w:t>
      </w:r>
      <w:r>
        <w:rPr>
          <w:rFonts w:cs="Times New Roman" w:ascii="Times New Roman" w:hAnsi="Times New Roman"/>
        </w:rPr>
        <w:t>mpone alle scuole, in quanto pubbliche amministrazioni, misure di sicurezza per dati, sistemi e servizi digitali;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Regolamento UE del 27 aprile 2016 n. 679 (GDPR) e il D.lgs. 30 giugno 2003 n. 196 </w:t>
      </w:r>
      <w:r>
        <w:rPr>
          <w:rStyle w:val="Strong"/>
          <w:rFonts w:cs="Times New Roman" w:ascii="Times New Roman" w:hAnsi="Times New Roman"/>
          <w:b w:val="false"/>
          <w:bCs w:val="false"/>
        </w:rPr>
        <w:t>per la t</w:t>
      </w:r>
      <w:r>
        <w:rPr>
          <w:rFonts w:cs="Times New Roman" w:ascii="Times New Roman" w:hAnsi="Times New Roman"/>
        </w:rPr>
        <w:t>utela dei dati personali di studenti, famiglie e personale e l’obbligo di misure tecniche e organizzative adeguate (password, backup, controllo accessi);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l’art. 2048 del Codice civile riguardante la responsabilità dei genitori per i danni causati dai figli;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la Raccomandazione del Consiglio UE del 22 maggio 2018 sulle competenze chiave per l’apprendimento permanente, con particolare attenzione alla competenza digitale;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le Linee guida del Ministero dell’Istruzione sull’uso consapevole delle tecnologie digitali nelle scuole; 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Piano Nazionale Scuola Digitale (</w:t>
      </w:r>
      <w:r>
        <w:rPr>
          <w:rFonts w:cs="Times New Roman" w:ascii="Times New Roman" w:hAnsi="Times New Roman"/>
          <w:i/>
          <w:iCs/>
        </w:rPr>
        <w:t>PNSD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- documento strategico del Ministero dell'Istruzione che guida l'innovazione della scuola italiana nell'era digitale</w:t>
      </w:r>
      <w:r>
        <w:rPr>
          <w:rFonts w:cs="Times New Roman" w:ascii="Times New Roman" w:hAnsi="Times New Roman"/>
        </w:rPr>
        <w:t>) le relative indicazioni per l’uso responsabile delle tecnologie;</w:t>
      </w:r>
    </w:p>
    <w:p>
      <w:pPr>
        <w:pStyle w:val="Normal"/>
        <w:numPr>
          <w:ilvl w:val="0"/>
          <w:numId w:val="2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la Legge 20 agosto 2019, n. 92 </w:t>
      </w:r>
      <w:r>
        <w:rPr>
          <w:rStyle w:val="Strong"/>
          <w:rFonts w:cs="Times New Roman" w:ascii="Times New Roman" w:hAnsi="Times New Roman"/>
          <w:b w:val="false"/>
          <w:bCs w:val="false"/>
        </w:rPr>
        <w:t>che introduce l’insegnamento dell’Educazione civica in tutte le scuole del sistema nazionale di istruzione</w:t>
      </w:r>
      <w:r>
        <w:rPr>
          <w:rFonts w:cs="Times New Roman" w:ascii="Times New Roman" w:hAnsi="Times New Roman"/>
        </w:rPr>
        <w:t>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Protocollo d’Intesa </w:t>
      </w:r>
      <w:r>
        <w:rPr>
          <w:rStyle w:val="Strong"/>
          <w:rFonts w:cs="Times New Roman" w:ascii="Times New Roman" w:hAnsi="Times New Roman"/>
          <w:b w:val="false"/>
          <w:bCs w:val="false"/>
        </w:rPr>
        <w:t>finalizzato allo sviluppo e al consolidamento in ambito scolastico di buone prassi per la prevenzione e il contrasto dei fenomeni legati alle diverse forme di dipendenza (D.P.R. 309/90) a bullismo e cyberbullismo (L. 29 maggio 2017, n. 71) alle altre forme di disagio sociale minorile e per la promozione della legalità (L.R. 24 giugno 2015, n. 17) promosso dalla Prefettura di Varese e sottoscritto in data 27 giugno 2023</w:t>
      </w:r>
      <w:r>
        <w:rPr>
          <w:rFonts w:cs="Times New Roman" w:ascii="Times New Roman" w:hAnsi="Times New Roman"/>
        </w:rPr>
        <w:t>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 principi della Convenzione delle Nazioni Unite sui diritti dell'infanzia e dell'adolescenza del 20 novembre 1989 e le relative disposizioni dell'Osservazione Generale n. 25/2021 del Comitato delle Nazioni Unite, che estende e specifica la tutela dei diritti dei minori nell'ambiente digitale, garantendo loro protezione e partecipazione anche online.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regolamento (UE) 2024/1689 del Parlamento europeo e del Consiglio, del 13 giugno 2024, che stabilisce regole armonizzate sull’intelligenza artificiale;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  <w:b w:val="false"/>
          <w:bCs w:val="false"/>
        </w:rPr>
        <w:t>la Risoluzione del Parlamento europeo del 26 novembre 2025 sulla protezione dei minori online (2025/2060(INI))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CONSIDERATO CHE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l’accesso precoce e diffuso dei minorenni agli strumenti digitali e ai servizi online comporta rilevanti implicazioni sotto il profilo della tutela dei diritti fondamentali, della protezione dei dati personali, della sicurezza, della salute psico-fisica e dello sviluppo armonico della personalità;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la normativa vigente attribuisce ai genitori e ai tutori un ruolo centrale di vigilanza, educazione e responsabilità nell’uso delle tecnologie digitali da parte dei figli minorenni, ferma restando la funzione educativa e di prevenzione svolta dalle istituzioni scolastiche e dalle amministrazioni pubbliche;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l’evoluzione tecnologica, in particolare in relazione ai sistemi di intelligenza artificiale, impone l’adozione di misure preventive, educative e regolative volte a garantire un elevato livello di protezione dei minorenni, secondo un approccio di precauzione e di responsabilità condivisa;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Parti, ciascuna nell’ambito delle rispettive competenze istituzionali, operano in modo continuativo per la prevenzione del disagio giovanile, per la promozione del benessere digitale e per il sostegno alla genitorialità, riconoscendo il valore strategico di un’azione coordinata, integrata e multilivello e, nello specifico:</w:t>
      </w:r>
    </w:p>
    <w:p>
      <w:pPr>
        <w:pStyle w:val="Corpodeltesto"/>
        <w:spacing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La Prefettura - Ufficio Territoriale del Governo di Varese:</w:t>
      </w:r>
    </w:p>
    <w:p>
      <w:pPr>
        <w:pStyle w:val="ListParagraph"/>
        <w:numPr>
          <w:ilvl w:val="0"/>
          <w:numId w:val="3"/>
        </w:numPr>
        <w:spacing w:lineRule="auto" w:line="360" w:before="0" w:after="12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promuove la diffusione della cultura della sicurezza digitale e la prevenzione del disagio minorile a livello interistituzionale attraverso la Conferenza Permanente e il coinvolgimento delle associazioni sportive dei centri di aggregazione;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supporta l’iniziativa attraverso il coordinamento tra le diverse istituzioni locali e la promozione di politiche di sicurezza ed educazione digitale;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  <w:r>
        <w:br w:type="page"/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La Provincia di Varese:</w:t>
      </w:r>
    </w:p>
    <w:p>
      <w:pPr>
        <w:pStyle w:val="ListParagraph"/>
        <w:numPr>
          <w:ilvl w:val="0"/>
          <w:numId w:val="8"/>
        </w:numPr>
        <w:spacing w:lineRule="auto" w:line="360" w:before="0" w:after="12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__________________________________________________________________________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Corpodeltesto"/>
        <w:spacing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L’Ufficio Scolastico Territoriale di Varese: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è impegnato nel processo di crescita ed educazione delle nuove generazioni attraverso l’adozione di comportamenti responsabili nell’uso delle tecnologie digitali;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promuove la collaborazione tra scuole, famiglie e istituzioni per garantire un ambiente educativo sicuro e consapevole;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 prefigge di educare i giovani all’uso consapevole e responsabile degli strumenti digitali, in particolare gli smartphone;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organizza e sostiene iniziative culturali e formative sui temi della sicurezza digitale e del benessere online.</w:t>
      </w:r>
    </w:p>
    <w:p>
      <w:pPr>
        <w:pStyle w:val="Corpodeltesto"/>
        <w:spacing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L’Università degli Studi dell’Insubria e l’Università Carlo Cattaneo - LIUC: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operano attivamente nei settori dell’</w:t>
      </w:r>
      <w:r>
        <w:rPr>
          <w:rStyle w:val="Strong"/>
          <w:rFonts w:cs="Times New Roman" w:ascii="Times New Roman" w:hAnsi="Times New Roman"/>
          <w:b w:val="false"/>
          <w:bCs w:val="false"/>
        </w:rPr>
        <w:t>educazione</w:t>
      </w:r>
      <w:r>
        <w:rPr>
          <w:rFonts w:cs="Times New Roman" w:ascii="Times New Roman" w:hAnsi="Times New Roman"/>
        </w:rPr>
        <w:t xml:space="preserve">, della </w:t>
      </w:r>
      <w:r>
        <w:rPr>
          <w:rStyle w:val="Strong"/>
          <w:rFonts w:cs="Times New Roman" w:ascii="Times New Roman" w:hAnsi="Times New Roman"/>
          <w:b w:val="false"/>
          <w:bCs w:val="false"/>
        </w:rPr>
        <w:t>psicologia dell’età evolutiva</w:t>
      </w:r>
      <w:r>
        <w:rPr>
          <w:rFonts w:cs="Times New Roman" w:ascii="Times New Roman" w:hAnsi="Times New Roman"/>
        </w:rPr>
        <w:t xml:space="preserve">, del </w:t>
      </w:r>
      <w:r>
        <w:rPr>
          <w:rStyle w:val="Strong"/>
          <w:rFonts w:cs="Times New Roman" w:ascii="Times New Roman" w:hAnsi="Times New Roman"/>
          <w:b w:val="false"/>
          <w:bCs w:val="false"/>
        </w:rPr>
        <w:t>benessere digitale</w:t>
      </w:r>
      <w:r>
        <w:rPr>
          <w:rFonts w:cs="Times New Roman" w:ascii="Times New Roman" w:hAnsi="Times New Roman"/>
        </w:rPr>
        <w:t xml:space="preserve">, della </w:t>
      </w:r>
      <w:r>
        <w:rPr>
          <w:rStyle w:val="Strong"/>
          <w:rFonts w:cs="Times New Roman" w:ascii="Times New Roman" w:hAnsi="Times New Roman"/>
          <w:b w:val="false"/>
          <w:bCs w:val="false"/>
        </w:rPr>
        <w:t>prevenzione del disagio giovanile</w:t>
      </w:r>
      <w:r>
        <w:rPr>
          <w:rFonts w:cs="Times New Roman" w:ascii="Times New Roman" w:hAnsi="Times New Roman"/>
        </w:rPr>
        <w:t>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contribuiscono a rafforzare il carattere </w:t>
      </w:r>
      <w:r>
        <w:rPr>
          <w:rStyle w:val="Strong"/>
          <w:rFonts w:cs="Times New Roman" w:ascii="Times New Roman" w:hAnsi="Times New Roman"/>
        </w:rPr>
        <w:t>s</w:t>
      </w:r>
      <w:r>
        <w:rPr>
          <w:rStyle w:val="Strong"/>
          <w:rFonts w:cs="Times New Roman" w:ascii="Times New Roman" w:hAnsi="Times New Roman"/>
          <w:b w:val="false"/>
          <w:bCs w:val="false"/>
        </w:rPr>
        <w:t>cientifico, educativo e valutativo</w:t>
      </w:r>
      <w:r>
        <w:rPr>
          <w:rFonts w:cs="Times New Roman" w:ascii="Times New Roman" w:hAnsi="Times New Roman"/>
        </w:rPr>
        <w:t xml:space="preserve"> delle azioni previste dal presente Protocollo;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favoriscono la costruzione di una </w:t>
      </w:r>
      <w:r>
        <w:rPr>
          <w:rStyle w:val="Strong"/>
          <w:rFonts w:cs="Times New Roman" w:ascii="Times New Roman" w:hAnsi="Times New Roman"/>
          <w:b w:val="false"/>
          <w:bCs w:val="false"/>
        </w:rPr>
        <w:t>rete territoriale stabile</w:t>
      </w:r>
      <w:r>
        <w:rPr>
          <w:rFonts w:cs="Times New Roman" w:ascii="Times New Roman" w:hAnsi="Times New Roman"/>
        </w:rPr>
        <w:t xml:space="preserve"> tra istituzioni, scuole, famiglie e comunità locali.</w:t>
      </w:r>
    </w:p>
    <w:p>
      <w:pPr>
        <w:pStyle w:val="Corpodeltesto"/>
        <w:spacing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Le Amministrazione Comunali di Venegono Inferiore, Venegono Inferiore e Malnate: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sono impegnate nella promozione di politiche di educazione digitale, sostenendo iniziative che favoriscono un uso responsabile delle tecnologie da parte dei minori;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forniscono supporto logistico e risorse per eventi e attività educative legate ai Patti Digitali di Comunità;</w:t>
      </w:r>
    </w:p>
    <w:p>
      <w:pPr>
        <w:pStyle w:val="Normal"/>
        <w:numPr>
          <w:ilvl w:val="0"/>
          <w:numId w:val="3"/>
        </w:numPr>
        <w:spacing w:lineRule="auto" w:line="360" w:before="0" w:after="120"/>
        <w:jc w:val="both"/>
        <w:rPr>
          <w:rStyle w:val="Strong"/>
          <w:rFonts w:ascii="Times New Roman" w:hAnsi="Times New Roman" w:cs="Times New Roman"/>
          <w:b w:val="false"/>
          <w:bCs w:val="false"/>
        </w:rPr>
      </w:pPr>
      <w:r>
        <w:rPr>
          <w:rStyle w:val="Strong"/>
          <w:rFonts w:cs="Times New Roman" w:ascii="Times New Roman" w:hAnsi="Times New Roman"/>
          <w:b w:val="false"/>
          <w:bCs w:val="false"/>
        </w:rPr>
        <w:t>promuovono la collaborazione tra le scuole e le famiglie, incentivando una cultura della sicurezza e del rispetto online.</w:t>
      </w:r>
    </w:p>
    <w:p>
      <w:pPr>
        <w:pStyle w:val="Normal"/>
        <w:spacing w:lineRule="auto" w:line="360" w:before="0" w:after="120"/>
        <w:jc w:val="both"/>
        <w:rPr>
          <w:rStyle w:val="Strong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</w:rPr>
        <w:t>La Camera di Commercio:</w:t>
      </w:r>
    </w:p>
    <w:p>
      <w:pPr>
        <w:pStyle w:val="ListParagraph"/>
        <w:numPr>
          <w:ilvl w:val="0"/>
          <w:numId w:val="8"/>
        </w:numPr>
        <w:spacing w:lineRule="auto" w:line="360" w:before="0" w:after="120"/>
        <w:contextualSpacing/>
        <w:jc w:val="both"/>
        <w:rPr>
          <w:rStyle w:val="Strong"/>
          <w:rFonts w:ascii="Times New Roman" w:hAnsi="Times New Roman" w:cs="Times New Roman"/>
        </w:rPr>
      </w:pPr>
      <w:r>
        <w:rPr>
          <w:rStyle w:val="Strong"/>
          <w:rFonts w:cs="Times New Roman" w:ascii="Times New Roman" w:hAnsi="Times New Roman"/>
        </w:rPr>
        <w:t>__________________________________________________________________________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È interesse comune garantire a minori e famiglie strumenti operativi, occasioni di confronto e regole condivise per un utilizzo responsabile delle tecnologie digitali e dei sistemi basati su intelligenza artificiale.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SI CONCORDA QUANTO SEGUE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premesse e i considerata costituiscono parte integrante e sostanziale del presente Protocollo d’Intesa.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Art. 1 - Prefettura - U.T.G. di Varese</w:t>
      </w:r>
    </w:p>
    <w:p>
      <w:pPr>
        <w:pStyle w:val="Normal"/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La Prefettura:</w:t>
      </w:r>
    </w:p>
    <w:p>
      <w:pPr>
        <w:pStyle w:val="Normal"/>
        <w:numPr>
          <w:ilvl w:val="0"/>
          <w:numId w:val="4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coordina i soggetti coinvolti e promuove tavoli di lavoro interistituzionali;</w:t>
      </w:r>
    </w:p>
    <w:p>
      <w:pPr>
        <w:pStyle w:val="Normal"/>
        <w:numPr>
          <w:ilvl w:val="0"/>
          <w:numId w:val="4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supervisiona e monitora l’attuazione del Protocollo;</w:t>
      </w:r>
    </w:p>
    <w:p>
      <w:pPr>
        <w:pStyle w:val="Normal"/>
        <w:numPr>
          <w:ilvl w:val="0"/>
          <w:numId w:val="4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sostiene campagne di sensibilizzazione sui rischi digitali e sul cyberbullismo;</w:t>
      </w:r>
    </w:p>
    <w:p>
      <w:pPr>
        <w:pStyle w:val="Normal"/>
        <w:numPr>
          <w:ilvl w:val="0"/>
          <w:numId w:val="4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promuove la cultura della legalità e della cittadinanza digitale.</w:t>
      </w:r>
    </w:p>
    <w:p>
      <w:pPr>
        <w:pStyle w:val="Normal"/>
        <w:spacing w:lineRule="auto" w:line="360" w:before="0" w:after="120"/>
        <w:ind w:left="720" w:hanging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Art. 2 – Provincia di Varese</w:t>
      </w:r>
    </w:p>
    <w:p>
      <w:pPr>
        <w:pStyle w:val="Normal"/>
        <w:spacing w:lineRule="auto" w:line="360" w:before="0" w:after="120"/>
        <w:ind w:left="720" w:hanging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…………………………………………………………………………………</w:t>
      </w:r>
    </w:p>
    <w:p>
      <w:pPr>
        <w:pStyle w:val="Normal"/>
        <w:spacing w:lineRule="auto" w:line="360" w:before="0" w:after="120"/>
        <w:ind w:left="720" w:hanging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Art. 3 - Ufficio Scolastico Territoriale di Varese</w:t>
      </w:r>
    </w:p>
    <w:p>
      <w:pPr>
        <w:pStyle w:val="Normal"/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L’Ufficio Scolastico:</w:t>
      </w:r>
    </w:p>
    <w:p>
      <w:pPr>
        <w:pStyle w:val="Normal"/>
        <w:numPr>
          <w:ilvl w:val="0"/>
          <w:numId w:val="5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supporta l’implementazione dei Patti Digitali di Comunità nelle scuole;</w:t>
      </w:r>
    </w:p>
    <w:p>
      <w:pPr>
        <w:pStyle w:val="Normal"/>
        <w:numPr>
          <w:ilvl w:val="0"/>
          <w:numId w:val="5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favorisce la collaborazione tra scuole, famiglie e territorio;</w:t>
      </w:r>
    </w:p>
    <w:p>
      <w:pPr>
        <w:pStyle w:val="Normal"/>
        <w:numPr>
          <w:ilvl w:val="0"/>
          <w:numId w:val="5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promuove la formazione dei docenti in materia di educazione digitale e sicurezza online;</w:t>
      </w:r>
    </w:p>
    <w:p>
      <w:pPr>
        <w:pStyle w:val="Normal"/>
        <w:numPr>
          <w:ilvl w:val="0"/>
          <w:numId w:val="5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partecipa ai tavoli di co-progettazione educativa.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Art. 4 - Università degli Studi dell’Insubria e Università Carlo Cattaneo - LIUC</w:t>
      </w:r>
    </w:p>
    <w:p>
      <w:pPr>
        <w:pStyle w:val="Normal"/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Università:</w:t>
      </w:r>
    </w:p>
    <w:p>
      <w:pPr>
        <w:pStyle w:val="Normal"/>
        <w:numPr>
          <w:ilvl w:val="0"/>
          <w:numId w:val="6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forniscono supporto scientifico e metodologico;</w:t>
      </w:r>
    </w:p>
    <w:p>
      <w:pPr>
        <w:pStyle w:val="Normal"/>
        <w:numPr>
          <w:ilvl w:val="0"/>
          <w:numId w:val="6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progettano e realizzano percorsi formativi per studenti e docenti;</w:t>
      </w:r>
    </w:p>
    <w:p>
      <w:pPr>
        <w:pStyle w:val="Normal"/>
        <w:numPr>
          <w:ilvl w:val="0"/>
          <w:numId w:val="6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partecipano alle attività di coordinamento e valutazione;</w:t>
      </w:r>
    </w:p>
    <w:p>
      <w:pPr>
        <w:pStyle w:val="Normal"/>
        <w:numPr>
          <w:ilvl w:val="0"/>
          <w:numId w:val="6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diffondono buone pratiche basate su evidenze scientifiche.</w:t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Art. 5 - Comuni di Malnate, Venegono Inferiore e Venegono Superiore  </w:t>
      </w:r>
    </w:p>
    <w:p>
      <w:pPr>
        <w:pStyle w:val="Normal"/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Le Amministrazioni Comunali:</w:t>
      </w:r>
    </w:p>
    <w:p>
      <w:pPr>
        <w:pStyle w:val="Normal"/>
        <w:numPr>
          <w:ilvl w:val="0"/>
          <w:numId w:val="7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promuovono politiche di educazione digitale e sostegno alla genitorialità;</w:t>
      </w:r>
    </w:p>
    <w:p>
      <w:pPr>
        <w:pStyle w:val="Normal"/>
        <w:numPr>
          <w:ilvl w:val="0"/>
          <w:numId w:val="7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forniscono supporto logistico e organizzativo alle iniziative;</w:t>
      </w:r>
    </w:p>
    <w:p>
      <w:pPr>
        <w:pStyle w:val="Normal"/>
        <w:numPr>
          <w:ilvl w:val="0"/>
          <w:numId w:val="7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incentivano la collaborazione tra scuole, famiglie e comunità locali;</w:t>
      </w:r>
    </w:p>
    <w:p>
      <w:pPr>
        <w:pStyle w:val="Normal"/>
        <w:numPr>
          <w:ilvl w:val="0"/>
          <w:numId w:val="7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favoriscono la diffusione delle informazioni tramite canali istituzionali;</w:t>
      </w:r>
    </w:p>
    <w:p>
      <w:pPr>
        <w:pStyle w:val="Normal"/>
        <w:numPr>
          <w:ilvl w:val="0"/>
          <w:numId w:val="7"/>
        </w:numPr>
        <w:spacing w:lineRule="auto" w:line="360" w:before="0" w:after="1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collaborano con Prefettura, Università e Ufficio Scolastico territoriale per la progettazione e la realizzazione di percorsi territoriali condivisi.</w:t>
      </w:r>
    </w:p>
    <w:p>
      <w:pPr>
        <w:pStyle w:val="Normal"/>
        <w:spacing w:lineRule="auto" w:line="360" w:before="0" w:after="120"/>
        <w:ind w:left="720" w:hanging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Art. 6 – Camera di Commercio</w:t>
      </w:r>
    </w:p>
    <w:p>
      <w:pPr>
        <w:pStyle w:val="Normal"/>
        <w:spacing w:lineRule="auto" w:line="360" w:before="0" w:after="120"/>
        <w:ind w:left="72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  <w:bookmarkStart w:id="0" w:name="_GoBack"/>
      <w:bookmarkEnd w:id="0"/>
    </w:p>
    <w:p>
      <w:pPr>
        <w:pStyle w:val="Normal"/>
        <w:spacing w:lineRule="auto" w:line="360" w:before="0" w:after="120"/>
        <w:ind w:left="72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VALIDITÀ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presente Protocollo ha durata triennale a decorrere dalla data di sottoscrizione e rimane valido fino alla stipula di un nuovo accordo.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POSSIBILITÀ DI NUOVE ADESIONI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Protocollo è aperto all’adesione di ulteriori soggetti pubblici che manifestino interesse alla sua sottoscrizione.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SOTTOSCRIZIONI</w:t>
      </w:r>
    </w:p>
    <w:p>
      <w:pPr>
        <w:pStyle w:val="Normal"/>
        <w:spacing w:lineRule="auto" w:line="360" w:before="0" w:after="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Style w:val="Grigliatabella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25"/>
        <w:gridCol w:w="4212"/>
      </w:tblGrid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Prefettura - Ufficio Territoriale del Governo di Varese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Prefetto Dott. Salvatore Rosario Pasquariello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Provincia di Varese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Presidente dott. Marco Magrini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Ufficio Scolastico Territoriale di Varese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Dirigente Dott. Giuseppe Carcano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>
          <w:trHeight w:val="416" w:hRule="atLeast"/>
        </w:trPr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Università degli Studi dell’Insubria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La Rettrice Prof.ssa Maria Pierro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Università Carlo Cattaneo - LIUC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La Rettrice Prof.ssa Anna Gervasoni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Comune di Malnate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La Sindaca Prof.ssa Nadia Cannito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Comune di Venegono Inferiore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Sindaco Dott. Mattia Premazzi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Comune di Venegono Superiore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Sindaco Avv. Walter Fabiano Lorenzin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Camera di Commercio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  <w:t>Il Presidente Mauro Vitiello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  <w:tr>
        <w:trPr/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2"/>
                <w:sz w:val="24"/>
                <w:szCs w:val="24"/>
                <w:lang w:val="it-IT" w:eastAsia="ja-JP" w:bidi="ar-SA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32272218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72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b600f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2"/>
      <w:sz w:val="24"/>
      <w:szCs w:val="24"/>
      <w:lang w:val="it-IT" w:eastAsia="ja-JP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a26e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a26e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a26e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a26e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a26e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a26e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a26e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a26e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a26e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a26ed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a26ed9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a26ed9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a26ed9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a26ed9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a26ed9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a26ed9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a26ed9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a26ed9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uiPriority w:val="10"/>
    <w:qFormat/>
    <w:rsid w:val="00a26e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a26ed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a26ed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6ed9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a26e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ed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qFormat/>
    <w:rsid w:val="007242d5"/>
    <w:rPr>
      <w:b/>
      <w:bCs/>
    </w:rPr>
  </w:style>
  <w:style w:type="character" w:styleId="CorpotestoCarattere" w:customStyle="1">
    <w:name w:val="Corpo testo Carattere"/>
    <w:basedOn w:val="DefaultParagraphFont"/>
    <w:qFormat/>
    <w:rsid w:val="00817555"/>
    <w:rPr>
      <w:rFonts w:ascii="Liberation Serif" w:hAnsi="Liberation Serif" w:eastAsia="NSimSun" w:cs="Arial"/>
      <w:lang w:eastAsia="zh-CN" w:bidi="hi-IN"/>
      <w14:ligatures w14:val="none"/>
    </w:rPr>
  </w:style>
  <w:style w:type="character" w:styleId="CollegamentoInternet">
    <w:name w:val="Hyperlink"/>
    <w:basedOn w:val="DefaultParagraphFont"/>
    <w:uiPriority w:val="99"/>
    <w:unhideWhenUsed/>
    <w:rsid w:val="00ee4f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4f4c"/>
    <w:rPr>
      <w:color w:val="605E5C"/>
      <w:shd w:fill="E1DFDD" w:val="clear"/>
    </w:rPr>
  </w:style>
  <w:style w:type="character" w:styleId="IntestazioneCarattere" w:customStyle="1">
    <w:name w:val="Intestazione Carattere"/>
    <w:basedOn w:val="DefaultParagraphFont"/>
    <w:uiPriority w:val="99"/>
    <w:qFormat/>
    <w:rsid w:val="00d73a41"/>
    <w:rPr/>
  </w:style>
  <w:style w:type="character" w:styleId="PidipaginaCarattere" w:customStyle="1">
    <w:name w:val="Piè di pagina Carattere"/>
    <w:basedOn w:val="DefaultParagraphFont"/>
    <w:uiPriority w:val="99"/>
    <w:qFormat/>
    <w:rsid w:val="00d73a41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rsid w:val="00817555"/>
    <w:pPr>
      <w:spacing w:before="0" w:after="140"/>
    </w:pPr>
    <w:rPr>
      <w:rFonts w:ascii="Liberation Serif" w:hAnsi="Liberation Serif" w:eastAsia="NSimSun" w:cs="Arial"/>
      <w:lang w:eastAsia="zh-CN" w:bidi="hi-IN"/>
      <w14:ligatures w14:val="none"/>
    </w:rPr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link w:val="TitoloCarattere"/>
    <w:uiPriority w:val="10"/>
    <w:qFormat/>
    <w:rsid w:val="00a26ed9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a26ed9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a26ed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ed9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a26ed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d73a4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d73a4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73a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9</Pages>
  <Words>2045</Words>
  <Characters>12636</Characters>
  <CharactersWithSpaces>14488</CharactersWithSpaces>
  <Paragraphs>149</Paragraphs>
  <Company>Ministero dell'Interno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2026-02-06T10:54:00Z</dcterms:created>
  <dc:creator>Walter Fabiano Lorenzin</dc:creator>
  <dc:description/>
  <dc:language>it-IT</dc:language>
  <cp:lastModifiedBy>Pasquariello Salvatore Rosario</cp:lastModifiedBy>
  <dcterms:modified xsi:type="dcterms:W3CDTF">2026-02-06T11:36:00Z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