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120"/>
        <w:jc w:val="center"/>
        <w:rPr/>
      </w:pPr>
      <w:r>
        <w:rPr>
          <w:b/>
          <w:bCs/>
          <w:sz w:val="26"/>
          <w:szCs w:val="26"/>
        </w:rPr>
        <w:t>COMUNE DI MALNATE</w:t>
      </w:r>
    </w:p>
    <w:p>
      <w:pPr>
        <w:pStyle w:val="Normal"/>
        <w:spacing w:before="0" w:after="200"/>
        <w:jc w:val="center"/>
        <w:rPr/>
      </w:pPr>
      <w:r>
        <w:rPr>
          <w:sz w:val="20"/>
          <w:szCs w:val="20"/>
        </w:rPr>
        <w:t>Provincia di Varese</w:t>
      </w:r>
    </w:p>
    <w:p>
      <w:pPr>
        <w:pStyle w:val="Normal"/>
        <w:spacing w:before="0" w:after="120"/>
        <w:jc w:val="center"/>
        <w:rPr/>
      </w:pPr>
      <w:r>
        <w:rPr>
          <w:b/>
          <w:bCs/>
          <w:sz w:val="26"/>
          <w:szCs w:val="26"/>
        </w:rPr>
        <w:t>ACCORDO INDIVIDUALE PER LO SVOLGIMENTO DELLA PRESTAZIONE LAVORATIVA IN MODALITÀ AGILE (SMART WORKING)</w:t>
      </w:r>
    </w:p>
    <w:p>
      <w:pPr>
        <w:pStyle w:val="Normal"/>
        <w:spacing w:before="0" w:after="200"/>
        <w:jc w:val="center"/>
        <w:rPr/>
      </w:pPr>
      <w:r>
        <w:rPr>
          <w:i/>
          <w:sz w:val="20"/>
        </w:rPr>
        <w:t>Allegato A al Regolamento comunale per la disciplina del lavoro agile – artt. 18-23 della legge 22 maggio 2017, n. 81; artt. 63, 65 e 67 del CCNL Funzioni Locali 16 novembre 2022; artt. 40 e 41 del CCNL Funzioni Locali 23 febbraio 2026</w:t>
      </w:r>
    </w:p>
    <w:p>
      <w:pPr>
        <w:pStyle w:val="Normal"/>
        <w:spacing w:before="200" w:after="120"/>
        <w:jc w:val="center"/>
        <w:rPr/>
      </w:pPr>
      <w:r>
        <w:rPr>
          <w:b/>
          <w:bCs/>
        </w:rPr>
        <w:t>TRA</w:t>
      </w:r>
    </w:p>
    <w:p>
      <w:pPr>
        <w:pStyle w:val="Normal"/>
        <w:spacing w:lineRule="auto" w:line="276" w:before="0" w:after="110"/>
        <w:jc w:val="both"/>
        <w:rPr/>
      </w:pPr>
      <w:r>
        <w:rPr/>
        <w:t>Il COMUNE DI MALNATE, codice fiscale e partita IVA 00243280120, in qualità di datore di lavoro, rappresentato dal/dalla Dott./Dott.ssa ______________________________________, Responsabile dell’Area ______________________________________, domiciliato/a per la carica presso la sede dell’Ente,</w:t>
      </w:r>
    </w:p>
    <w:p>
      <w:pPr>
        <w:pStyle w:val="Normal"/>
        <w:spacing w:before="120" w:after="120"/>
        <w:jc w:val="center"/>
        <w:rPr/>
      </w:pPr>
      <w:r>
        <w:rPr>
          <w:b/>
          <w:bCs/>
        </w:rPr>
        <w:t>E</w:t>
      </w:r>
    </w:p>
    <w:p>
      <w:pPr>
        <w:pStyle w:val="Normal"/>
        <w:spacing w:lineRule="auto" w:line="276" w:before="0" w:after="110"/>
        <w:jc w:val="both"/>
        <w:rPr/>
      </w:pPr>
      <w:r>
        <w:rPr/>
        <w:t>Il/La dipendente ______________________________________, nato/a a ______________________ il ____/____/________, inquadrato/a nell’Area ______________________, profilo professionale ______________________________________, con rapporto di lavoro:  [ ] a tempo pieno   [ ] a tempo parziale (____ %), assegnato/a all’Area ______________________________________,</w:t>
      </w:r>
    </w:p>
    <w:p>
      <w:pPr>
        <w:pStyle w:val="Normal"/>
        <w:spacing w:before="240" w:after="120"/>
        <w:jc w:val="center"/>
        <w:rPr/>
      </w:pPr>
      <w:r>
        <w:rPr>
          <w:b/>
          <w:bCs/>
        </w:rPr>
        <w:t>PREMESSO CHE</w:t>
      </w:r>
    </w:p>
    <w:p>
      <w:pPr>
        <w:pStyle w:val="Normal"/>
        <w:spacing w:lineRule="auto" w:line="276" w:before="0" w:after="80"/>
        <w:ind w:hanging="259" w:start="431"/>
        <w:jc w:val="both"/>
        <w:rPr/>
      </w:pPr>
      <w:r>
        <w:rPr/>
        <w:t>a) gli articoli da 18 a 23 della legge 22 maggio 2017, n. 81, disciplinano l’esecuzione della prestazione lavorativa in modalità agile, applicabile alle pubbliche amministrazioni;</w:t>
      </w:r>
    </w:p>
    <w:p>
      <w:pPr>
        <w:pStyle w:val="Normal"/>
        <w:spacing w:lineRule="auto" w:line="276" w:before="0" w:after="80"/>
        <w:ind w:hanging="259" w:start="431"/>
        <w:jc w:val="both"/>
        <w:rPr/>
      </w:pPr>
      <w:r>
        <w:rPr/>
        <w:t>b) gli articoli 63, 65 e 67 del CCNL del Comparto Funzioni Locali del 16 novembre 2022 e gli articoli 40 e 41 del CCNL del Comparto Funzioni Locali del 23 febbraio 2026 definiscono il quadro contrattuale del lavoro agile;</w:t>
      </w:r>
    </w:p>
    <w:p>
      <w:pPr>
        <w:pStyle w:val="Normal"/>
        <w:spacing w:lineRule="auto" w:line="276" w:before="0" w:after="80"/>
        <w:ind w:hanging="259" w:start="431"/>
        <w:jc w:val="both"/>
        <w:rPr/>
      </w:pPr>
      <w:r>
        <w:rPr/>
        <w:t>c) l’Ente ha individuato le attività e i processi eseguibili in modalità agile con determinazione n. ______ del ______________, previo confronto con i soggetti sindacali svoltosi in data ______________, recependoli nella sezione del PIAO ____/____ dedicata all’organizzazione del lavoro agile, approvato con deliberazione della Giunta comunale n. ______ del ______________;</w:t>
      </w:r>
    </w:p>
    <w:p>
      <w:pPr>
        <w:pStyle w:val="Normal"/>
        <w:spacing w:lineRule="auto" w:line="276" w:before="0" w:after="80"/>
        <w:ind w:hanging="259" w:start="431"/>
        <w:jc w:val="both"/>
        <w:rPr/>
      </w:pPr>
      <w:r>
        <w:rPr/>
        <w:t>d) l’Ente è dotato del “Regolamento per la disciplina del lavoro agile”, approvato con deliberazione della Giunta comunale n. ______ del ______________, di cui il presente accordo costituisce attuazione individuale;</w:t>
      </w:r>
    </w:p>
    <w:p>
      <w:pPr>
        <w:pStyle w:val="Normal"/>
        <w:spacing w:lineRule="auto" w:line="276" w:before="0" w:after="80"/>
        <w:ind w:hanging="259" w:start="431"/>
        <w:jc w:val="both"/>
        <w:rPr/>
      </w:pPr>
      <w:r>
        <w:rPr/>
        <w:t>e) il/la dipendente ha presentato istanza di accesso al lavoro agile in data ______________, prot. n. ______, e le attività allo stesso/a assegnate rientrano fra quelle eseguibili in modalità agile;</w:t>
      </w:r>
    </w:p>
    <w:p>
      <w:pPr>
        <w:pStyle w:val="Normal"/>
        <w:spacing w:lineRule="auto" w:line="276" w:before="0" w:after="80"/>
        <w:ind w:hanging="259" w:start="431"/>
        <w:jc w:val="both"/>
        <w:rPr/>
      </w:pPr>
      <w:r>
        <w:rPr/>
        <w:t>f) il Responsabile dell’Area ha verificato la sussistenza dei presupposti tecnico-organizzativi e informatici e la compatibilità con le esigenze di servizio;</w:t>
      </w:r>
    </w:p>
    <w:p>
      <w:pPr>
        <w:pStyle w:val="Normal"/>
        <w:spacing w:lineRule="auto" w:line="276" w:before="0" w:after="80"/>
        <w:ind w:hanging="259" w:start="431"/>
        <w:jc w:val="both"/>
        <w:rPr/>
      </w:pPr>
      <w:r>
        <w:rPr/>
        <w:t>g) al/alla dipendente è stata consegnata, in data ______________, l’informativa scritta sui rischi generali e specifici connessi alla prestazione resa in modalità agile, ai sensi dell’articolo 22 della legge n. 81/2017 e dell’articolo 3, comma 7-bis, del d.lgs. n. 81/2008;</w:t>
      </w:r>
    </w:p>
    <w:p>
      <w:pPr>
        <w:pStyle w:val="Normal"/>
        <w:spacing w:lineRule="auto" w:line="276" w:before="0" w:after="80"/>
        <w:ind w:hanging="259" w:start="431"/>
        <w:jc w:val="both"/>
        <w:rPr/>
      </w:pPr>
      <w:r>
        <w:rPr/>
        <w:t>h) al/alla dipendente è stata resa l’informativa sul trattamento dei dati personali ai sensi dell’articolo 13 del Regolamento (UE) 2016/679;</w:t>
      </w:r>
    </w:p>
    <w:p>
      <w:pPr>
        <w:pStyle w:val="Normal"/>
        <w:spacing w:before="200" w:after="160"/>
        <w:jc w:val="center"/>
        <w:rPr/>
      </w:pPr>
      <w:r>
        <w:rPr>
          <w:b/>
          <w:bCs/>
        </w:rPr>
        <w:t>SI CONVIENE E SI STIPULA QUANTO SEGUE</w:t>
      </w:r>
    </w:p>
    <w:p>
      <w:pPr>
        <w:pStyle w:val="Normal"/>
        <w:keepNext w:val="true"/>
        <w:spacing w:before="260" w:after="120"/>
        <w:rPr/>
      </w:pPr>
      <w:r>
        <w:rPr>
          <w:b/>
          <w:bCs/>
        </w:rPr>
        <w:t>Art. 1 – Oggetto e decorrenza</w:t>
      </w:r>
    </w:p>
    <w:p>
      <w:pPr>
        <w:pStyle w:val="Normal"/>
        <w:spacing w:lineRule="auto" w:line="276" w:before="0" w:after="110"/>
        <w:jc w:val="both"/>
        <w:rPr/>
      </w:pPr>
      <w:r>
        <w:rPr/>
        <w:t>1.1 Il presente accordo disciplina lo svolgimento della prestazione lavorativa in modalità agile da parte del/della dipendente, in attuazione del Regolamento comunale e della sottosezione 3.2 del PIAO vigente. La modalità agile non modifica la natura giuridica del rapporto di lavoro in atto.</w:t>
      </w:r>
    </w:p>
    <w:p>
      <w:pPr>
        <w:pStyle w:val="Normal"/>
        <w:spacing w:lineRule="auto" w:line="276" w:before="0" w:after="110"/>
        <w:jc w:val="both"/>
        <w:rPr/>
      </w:pPr>
      <w:r>
        <w:rPr/>
        <w:t>1.2 L’accordo è stipulato a tempo determinato e decorre dal ____/____/________ al ____/____/________, in coerenza con la programmazione annuale del PIAO e con il ciclo di gestione della performance, salvo recesso ai sensi dell’articolo 9.</w:t>
      </w:r>
    </w:p>
    <w:p>
      <w:pPr>
        <w:pStyle w:val="Normal"/>
        <w:keepNext w:val="true"/>
        <w:spacing w:before="260" w:after="120"/>
        <w:rPr/>
      </w:pPr>
      <w:r>
        <w:rPr>
          <w:b/>
          <w:bCs/>
        </w:rPr>
        <w:t>Art. 2 – Attività eseguibili in modalità agile e articolazione della prestazione</w:t>
      </w:r>
    </w:p>
    <w:p>
      <w:pPr>
        <w:pStyle w:val="Normal"/>
        <w:spacing w:lineRule="auto" w:line="276" w:before="0" w:after="110"/>
        <w:jc w:val="both"/>
        <w:rPr/>
      </w:pPr>
      <w:r>
        <w:rPr/>
        <w:t>2.1 Sono svolte in modalità agile le seguenti attività, riconducibili a quelle individuate dall’Ente:</w:t>
      </w:r>
    </w:p>
    <w:p>
      <w:pPr>
        <w:pStyle w:val="Normal"/>
        <w:spacing w:lineRule="auto" w:line="276" w:before="0" w:after="110"/>
        <w:jc w:val="both"/>
        <w:rPr/>
      </w:pPr>
      <w:r>
        <w:rPr/>
        <w:t>______________________________________________________________________________________</w:t>
      </w:r>
    </w:p>
    <w:p>
      <w:pPr>
        <w:pStyle w:val="Normal"/>
        <w:spacing w:lineRule="auto" w:line="276" w:before="0" w:after="110"/>
        <w:jc w:val="both"/>
        <w:rPr/>
      </w:pPr>
      <w:r>
        <w:rPr/>
        <w:t>______________________________________________________________________________________</w:t>
      </w:r>
    </w:p>
    <w:p>
      <w:pPr>
        <w:pStyle w:val="Normal"/>
        <w:spacing w:lineRule="auto" w:line="276" w:before="0" w:after="110"/>
        <w:jc w:val="both"/>
        <w:rPr/>
      </w:pPr>
      <w:r>
        <w:rPr/>
        <w:t>2.2 La prestazione in modalità agile è resa per n. ______ giornate alla settimana (ovvero n. ______ giornate al mese), nel rispetto del limite massimo previsto dal Regolamento e assicurando in ogni caso la prevalenza della prestazione in presenza.</w:t>
      </w:r>
    </w:p>
    <w:p>
      <w:pPr>
        <w:pStyle w:val="Normal"/>
        <w:spacing w:lineRule="auto" w:line="276" w:before="0" w:after="110"/>
        <w:jc w:val="both"/>
        <w:rPr/>
      </w:pPr>
      <w:r>
        <w:rPr/>
        <w:t>2.3 Le giornate rese a distanza e quelle rese in presenza sono specificamente individuate come segue:</w:t>
      </w:r>
    </w:p>
    <w:p>
      <w:pPr>
        <w:pStyle w:val="Normal"/>
        <w:spacing w:lineRule="auto" w:line="276" w:before="0" w:after="80"/>
        <w:ind w:hanging="259" w:start="431"/>
        <w:jc w:val="both"/>
        <w:rPr/>
      </w:pPr>
      <w:r>
        <w:rPr/>
        <w:t>[ ]</w:t>
      </w:r>
      <w:r>
        <w:rPr>
          <w:shd w:fill="auto" w:val="clear"/>
        </w:rPr>
        <w:t xml:space="preserve"> </w:t>
      </w:r>
      <w:r>
        <w:rPr>
          <w:shd w:fill="auto" w:val="clear"/>
        </w:rPr>
        <w:t xml:space="preserve">di norma la prestazione </w:t>
      </w:r>
      <w:r>
        <w:rPr>
          <w:shd w:fill="auto" w:val="clear"/>
        </w:rPr>
        <w:t>in modalità agile</w:t>
      </w:r>
      <w:r>
        <w:rPr>
          <w:shd w:fill="auto" w:val="clear"/>
        </w:rPr>
        <w:t xml:space="preserve"> è svolta il giorno o i giorni</w:t>
      </w:r>
      <w:r>
        <w:rPr>
          <w:shd w:fill="auto" w:val="clear"/>
        </w:rPr>
        <w:t>:</w:t>
      </w:r>
      <w:r>
        <w:rPr/>
        <w:t xml:space="preserve"> ______________________________________;</w:t>
      </w:r>
    </w:p>
    <w:p>
      <w:pPr>
        <w:pStyle w:val="Normal"/>
        <w:spacing w:lineRule="auto" w:line="276" w:before="0" w:after="80"/>
        <w:ind w:hanging="259" w:start="431"/>
        <w:jc w:val="both"/>
        <w:rPr/>
      </w:pPr>
      <w:r>
        <w:rPr/>
        <w:t>[ ] calendario mensile sottoscritto dalle parti, allegato al presente accordo e del quale forma parte integrante e sostanziale.</w:t>
      </w:r>
    </w:p>
    <w:p>
      <w:pPr>
        <w:pStyle w:val="Normal"/>
        <w:spacing w:lineRule="auto" w:line="276" w:before="0" w:after="110"/>
        <w:jc w:val="both"/>
        <w:rPr/>
      </w:pPr>
      <w:r>
        <w:rPr/>
        <w:t>2.4 Il calendario è definito con cadenza mensile, entro il giorno 25 del mese precedente, di concerto con il Responsabile di Area; le variazioni sono concordate per iscritto, anche a mezzo posta elettronica istituzionale, e si intendono recepite nel calendario allegato.</w:t>
      </w:r>
    </w:p>
    <w:p>
      <w:pPr>
        <w:pStyle w:val="Normal"/>
        <w:spacing w:lineRule="auto" w:line="276" w:before="0" w:after="110"/>
        <w:jc w:val="both"/>
        <w:rPr/>
      </w:pPr>
      <w:r>
        <w:rPr/>
        <w:t>2.5 Le giornate non fruite per assenza o per richiamo in sede dovuto a sopravvenute esigenze di servizio non comportano un automatico diritto al recupero. In caso di richiamo dovuto a problematiche tecniche o informatiche si applica il punto 9.4.</w:t>
      </w:r>
    </w:p>
    <w:p>
      <w:pPr>
        <w:pStyle w:val="Normal"/>
        <w:keepNext w:val="true"/>
        <w:spacing w:before="260" w:after="120"/>
        <w:rPr/>
      </w:pPr>
      <w:r>
        <w:rPr>
          <w:b/>
          <w:bCs/>
        </w:rPr>
        <w:t>Art. 3 – Fascia di contattabilità, fascia di inoperabilità e diritto alla disconnessione</w:t>
      </w:r>
    </w:p>
    <w:p>
      <w:pPr>
        <w:pStyle w:val="Normal"/>
        <w:spacing w:lineRule="auto" w:line="276" w:before="0" w:after="110"/>
        <w:jc w:val="both"/>
        <w:rPr/>
      </w:pPr>
      <w:r>
        <w:rPr/>
        <w:t>3.1 La giornata di lavoro agile non è soggetta a vincolo rigido di orario ed è organizzata per obiettivi e risultati. Ai sensi dell’articolo 41, comma 1, del CCNL 23 febbraio 2026 e dell’articolo 9 del Regolamento comunale, la prestazione si articola come segue:</w:t>
      </w:r>
    </w:p>
    <w:tbl>
      <w:tblPr>
        <w:tblW w:w="9300" w:type="dxa"/>
        <w:jc w:val="start"/>
        <w:tblInd w:w="0" w:type="dxa"/>
        <w:tblLayout w:type="fixed"/>
        <w:tblCellMar>
          <w:top w:w="80" w:type="dxa"/>
          <w:start w:w="100" w:type="dxa"/>
          <w:bottom w:w="80" w:type="dxa"/>
          <w:end w:w="100" w:type="dxa"/>
        </w:tblCellMar>
        <w:tblLook w:val="04a0" w:firstRow="1" w:noVBand="1" w:lastRow="0" w:firstColumn="1" w:lastColumn="0" w:noHBand="0"/>
      </w:tblPr>
      <w:tblGrid>
        <w:gridCol w:w="2498"/>
        <w:gridCol w:w="3002"/>
        <w:gridCol w:w="3800"/>
      </w:tblGrid>
      <w:tr>
        <w:trPr>
          <w:tblHeader w:val="true"/>
        </w:trPr>
        <w:tc>
          <w:tcPr>
            <w:tcW w:w="2498" w:type="dxa"/>
            <w:tcBorders>
              <w:top w:val="single" w:sz="4" w:space="0" w:color="000000"/>
              <w:start w:val="single" w:sz="4" w:space="0" w:color="000000"/>
              <w:bottom w:val="single" w:sz="4" w:space="0" w:color="000000"/>
              <w:end w:val="single" w:sz="4" w:space="0" w:color="000000"/>
            </w:tcBorders>
            <w:shd w:color="auto" w:fill="D9D9D9" w:val="clear"/>
          </w:tcPr>
          <w:p>
            <w:pPr>
              <w:pStyle w:val="Normal"/>
              <w:widowControl w:val="false"/>
              <w:spacing w:before="0" w:after="40"/>
              <w:rPr/>
            </w:pPr>
            <w:r>
              <w:rPr>
                <w:b/>
                <w:bCs/>
                <w:sz w:val="20"/>
                <w:szCs w:val="20"/>
              </w:rPr>
              <w:t>Fascia</w:t>
            </w:r>
          </w:p>
        </w:tc>
        <w:tc>
          <w:tcPr>
            <w:tcW w:w="3002" w:type="dxa"/>
            <w:tcBorders>
              <w:top w:val="single" w:sz="4" w:space="0" w:color="000000"/>
              <w:start w:val="single" w:sz="4" w:space="0" w:color="000000"/>
              <w:bottom w:val="single" w:sz="4" w:space="0" w:color="000000"/>
              <w:end w:val="single" w:sz="4" w:space="0" w:color="000000"/>
            </w:tcBorders>
            <w:shd w:color="auto" w:fill="D9D9D9" w:val="clear"/>
          </w:tcPr>
          <w:p>
            <w:pPr>
              <w:pStyle w:val="Normal"/>
              <w:widowControl w:val="false"/>
              <w:spacing w:before="0" w:after="40"/>
              <w:rPr/>
            </w:pPr>
            <w:r>
              <w:rPr>
                <w:b/>
                <w:bCs/>
                <w:sz w:val="20"/>
                <w:szCs w:val="20"/>
              </w:rPr>
              <w:t>Orario</w:t>
            </w:r>
          </w:p>
        </w:tc>
        <w:tc>
          <w:tcPr>
            <w:tcW w:w="3800" w:type="dxa"/>
            <w:tcBorders>
              <w:top w:val="single" w:sz="4" w:space="0" w:color="000000"/>
              <w:start w:val="single" w:sz="4" w:space="0" w:color="000000"/>
              <w:bottom w:val="single" w:sz="4" w:space="0" w:color="000000"/>
              <w:end w:val="single" w:sz="4" w:space="0" w:color="000000"/>
            </w:tcBorders>
            <w:shd w:color="auto" w:fill="D9D9D9" w:val="clear"/>
          </w:tcPr>
          <w:p>
            <w:pPr>
              <w:pStyle w:val="Normal"/>
              <w:widowControl w:val="false"/>
              <w:spacing w:before="0" w:after="40"/>
              <w:rPr/>
            </w:pPr>
            <w:r>
              <w:rPr>
                <w:b/>
                <w:bCs/>
                <w:sz w:val="20"/>
                <w:szCs w:val="20"/>
              </w:rPr>
              <w:t>Obblighi e diritti</w:t>
            </w:r>
          </w:p>
        </w:tc>
      </w:tr>
      <w:tr>
        <w:trPr/>
        <w:tc>
          <w:tcPr>
            <w:tcW w:w="2498"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40"/>
              <w:rPr/>
            </w:pPr>
            <w:r>
              <w:rPr>
                <w:sz w:val="20"/>
                <w:szCs w:val="20"/>
              </w:rPr>
              <w:t>Contattabilità</w:t>
            </w:r>
          </w:p>
        </w:tc>
        <w:tc>
          <w:tcPr>
            <w:tcW w:w="3002"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40"/>
              <w:rPr/>
            </w:pPr>
            <w:r>
              <w:rPr>
                <w:sz w:val="20"/>
                <w:szCs w:val="20"/>
              </w:rPr>
              <w:t>Mattino: ______ – ______</w:t>
            </w:r>
          </w:p>
          <w:p>
            <w:pPr>
              <w:pStyle w:val="Normal"/>
              <w:widowControl w:val="false"/>
              <w:spacing w:before="0" w:after="40"/>
              <w:rPr/>
            </w:pPr>
            <w:r>
              <w:rPr/>
            </w:r>
          </w:p>
          <w:p>
            <w:pPr>
              <w:pStyle w:val="Normal"/>
              <w:widowControl w:val="false"/>
              <w:spacing w:before="0" w:after="40"/>
              <w:rPr/>
            </w:pPr>
            <w:r>
              <w:rPr>
                <w:sz w:val="20"/>
                <w:szCs w:val="20"/>
              </w:rPr>
              <w:t>Pomeriggio: ______ – ______</w:t>
            </w:r>
          </w:p>
          <w:p>
            <w:pPr>
              <w:pStyle w:val="Normal"/>
              <w:widowControl w:val="false"/>
              <w:spacing w:before="0" w:after="40"/>
              <w:rPr/>
            </w:pPr>
            <w:r>
              <w:rPr>
                <w:sz w:val="20"/>
                <w:szCs w:val="20"/>
              </w:rPr>
              <w:t>(solo nelle giornate con rientro pomeridiano previsto)</w:t>
            </w:r>
          </w:p>
          <w:p>
            <w:pPr>
              <w:pStyle w:val="Normal"/>
              <w:widowControl w:val="false"/>
              <w:spacing w:before="0" w:after="40"/>
              <w:rPr/>
            </w:pPr>
            <w:r>
              <w:rPr/>
            </w:r>
          </w:p>
          <w:p>
            <w:pPr>
              <w:pStyle w:val="Normal"/>
              <w:widowControl w:val="false"/>
              <w:spacing w:before="0" w:after="40"/>
              <w:rPr/>
            </w:pPr>
            <w:r>
              <w:rPr>
                <w:sz w:val="20"/>
                <w:szCs w:val="20"/>
              </w:rPr>
              <w:t>Durata complessiva: ______</w:t>
            </w:r>
          </w:p>
          <w:p>
            <w:pPr>
              <w:pStyle w:val="Normal"/>
              <w:widowControl w:val="false"/>
              <w:spacing w:before="0" w:after="40"/>
              <w:rPr/>
            </w:pPr>
            <w:r>
              <w:rPr>
                <w:sz w:val="20"/>
                <w:szCs w:val="20"/>
              </w:rPr>
              <w:t>(non superiore all’orario medio giornaliero di lavoro)</w:t>
            </w:r>
          </w:p>
        </w:tc>
        <w:tc>
          <w:tcPr>
            <w:tcW w:w="3800"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40"/>
              <w:rPr/>
            </w:pPr>
            <w:r>
              <w:rPr>
                <w:sz w:val="20"/>
                <w:szCs w:val="20"/>
              </w:rPr>
              <w:t>Il/La dipendente è raggiungibile e assicura tempestivo riscontro tramite telefono, e-mail e messaggistica d’Ente. Non si tratta di reperibilità e non spetta la relativa indennità. Sono fruibili i permessi orari.</w:t>
            </w:r>
          </w:p>
        </w:tc>
      </w:tr>
      <w:tr>
        <w:trPr/>
        <w:tc>
          <w:tcPr>
            <w:tcW w:w="2498"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40"/>
              <w:rPr/>
            </w:pPr>
            <w:r>
              <w:rPr>
                <w:sz w:val="20"/>
                <w:szCs w:val="20"/>
              </w:rPr>
              <w:t>Autonomia organizzativa</w:t>
            </w:r>
          </w:p>
        </w:tc>
        <w:tc>
          <w:tcPr>
            <w:tcW w:w="3002"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40"/>
              <w:rPr/>
            </w:pPr>
            <w:r>
              <w:rPr>
                <w:sz w:val="20"/>
                <w:szCs w:val="20"/>
              </w:rPr>
              <w:t>Restante arco della giornata fino alle ore 19:30</w:t>
            </w:r>
          </w:p>
        </w:tc>
        <w:tc>
          <w:tcPr>
            <w:tcW w:w="3800"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40"/>
              <w:rPr/>
            </w:pPr>
            <w:r>
              <w:rPr>
                <w:sz w:val="20"/>
                <w:szCs w:val="20"/>
              </w:rPr>
              <w:t>Il/La dipendente completa la prestazione in autonomia e non è tenuto/a a riscontrare le comunicazioni di servizio.</w:t>
            </w:r>
          </w:p>
        </w:tc>
      </w:tr>
      <w:tr>
        <w:trPr/>
        <w:tc>
          <w:tcPr>
            <w:tcW w:w="2498"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40"/>
              <w:rPr/>
            </w:pPr>
            <w:r>
              <w:rPr>
                <w:sz w:val="20"/>
                <w:szCs w:val="20"/>
              </w:rPr>
              <w:t>Inoperabilità</w:t>
            </w:r>
          </w:p>
          <w:p>
            <w:pPr>
              <w:pStyle w:val="Normal"/>
              <w:widowControl w:val="false"/>
              <w:spacing w:before="0" w:after="40"/>
              <w:rPr/>
            </w:pPr>
            <w:r>
              <w:rPr>
                <w:sz w:val="20"/>
                <w:szCs w:val="20"/>
              </w:rPr>
              <w:t>(disconnessione)</w:t>
            </w:r>
          </w:p>
        </w:tc>
        <w:tc>
          <w:tcPr>
            <w:tcW w:w="3002"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40"/>
              <w:rPr/>
            </w:pPr>
            <w:r>
              <w:rPr>
                <w:sz w:val="20"/>
                <w:szCs w:val="20"/>
              </w:rPr>
              <w:t>19:30 – 07:30 del giorno successivo; giornate festive, ferie, malattia e permessi</w:t>
            </w:r>
          </w:p>
        </w:tc>
        <w:tc>
          <w:tcPr>
            <w:tcW w:w="3800"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40"/>
              <w:rPr/>
            </w:pPr>
            <w:r>
              <w:rPr>
                <w:sz w:val="20"/>
                <w:szCs w:val="20"/>
              </w:rPr>
              <w:t>Nessuna prestazione lavorativa. Diritto alla disconnessione. Comprende il riposo di 11 ore consecutive e il periodo notturno 22:00 – 06:00.</w:t>
            </w:r>
          </w:p>
        </w:tc>
      </w:tr>
    </w:tbl>
    <w:p>
      <w:pPr>
        <w:pStyle w:val="Normal"/>
        <w:spacing w:lineRule="auto" w:line="276" w:before="0" w:after="110"/>
        <w:jc w:val="both"/>
        <w:rPr/>
      </w:pPr>
      <w:r>
        <w:rPr/>
        <w:t>3.2 La durata complessiva della fascia di contattabilità non può in alcun caso essere superiore all’orario medio giornaliero di lavoro ed è proporzionalmente ridotta in caso di rapporto a tempo parziale.</w:t>
      </w:r>
    </w:p>
    <w:p>
      <w:pPr>
        <w:pStyle w:val="Normal"/>
        <w:spacing w:lineRule="auto" w:line="276" w:before="0" w:after="110"/>
        <w:jc w:val="both"/>
        <w:rPr/>
      </w:pPr>
      <w:r>
        <w:rPr/>
        <w:t>3.3 Nella fascia di contattabilità il/la dipendente può richiedere, ricorrendone i presupposti, la fruizione dei permessi orari previsti dalla legge e dai contratti collettivi; per la durata dei permessi è sollevato/a dagli obblighi di contattabilità.</w:t>
      </w:r>
    </w:p>
    <w:p>
      <w:pPr>
        <w:pStyle w:val="Normal"/>
        <w:spacing w:lineRule="auto" w:line="276" w:before="0" w:after="110"/>
        <w:jc w:val="both"/>
        <w:rPr/>
      </w:pPr>
      <w:r>
        <w:rPr/>
        <w:t>3.4 Nella fascia di inoperabilità il/la dipendente ha diritto di disconnettere i dispositivi tecnologici di lavoro e non è tenuto/a a prendere visione né a riscontrare le comunicazioni di servizio. Il mancato riscontro al di fuori della fascia di contattabilità non ha rilievo disciplinare né incide sulla valutazione della performance.</w:t>
      </w:r>
    </w:p>
    <w:p>
      <w:pPr>
        <w:pStyle w:val="Normal"/>
        <w:keepNext w:val="true"/>
        <w:spacing w:before="260" w:after="120"/>
        <w:rPr/>
      </w:pPr>
      <w:r>
        <w:rPr>
          <w:b/>
          <w:bCs/>
        </w:rPr>
        <w:t>Art. 4 – Luogo di svolgimento della prestazione</w:t>
      </w:r>
    </w:p>
    <w:p>
      <w:pPr>
        <w:pStyle w:val="Normal"/>
        <w:spacing w:lineRule="auto" w:line="276" w:before="0" w:after="110"/>
        <w:jc w:val="both"/>
        <w:rPr/>
      </w:pPr>
      <w:r>
        <w:rPr/>
        <w:t>4.1 La prestazione in modalità agile è resa, in via prevalente, presso: ______________________________________________________________ (indicare il luogo o i luoghi). Ogni variazione è preventivamente comunicata al Responsabile di Area.</w:t>
      </w:r>
    </w:p>
    <w:p>
      <w:pPr>
        <w:pStyle w:val="Normal"/>
        <w:spacing w:lineRule="auto" w:line="276" w:before="0" w:after="110"/>
        <w:jc w:val="both"/>
        <w:rPr/>
      </w:pPr>
      <w:r>
        <w:rPr/>
        <w:t>4.2 Il/La dipendente dichiara che il luogo indicato presenta condizioni idonee sotto il profilo della salute e della sicurezza – impianti a norma, adeguate condizioni di illuminazione e microclima, postazione compatibile con l’uso di videoterminali – e tali da assicurare la riservatezza dei dati e delle informazioni trattati, nonché la piena operatività della dotazione informatica e la disponibilità di una connessione idonea.</w:t>
      </w:r>
    </w:p>
    <w:p>
      <w:pPr>
        <w:pStyle w:val="Normal"/>
        <w:spacing w:lineRule="auto" w:line="276" w:before="0" w:after="110"/>
        <w:jc w:val="both"/>
        <w:rPr/>
      </w:pPr>
      <w:r>
        <w:rPr/>
        <w:t>4.3 Non possono essere utilizzati luoghi aperti al pubblico o comunque privi delle condizioni di cui al comma 4.2, in particolare quando non sia garantita la non visibilità dello schermo a terzi.</w:t>
      </w:r>
    </w:p>
    <w:p>
      <w:pPr>
        <w:pStyle w:val="Normal"/>
        <w:keepNext w:val="true"/>
        <w:spacing w:before="260" w:after="120"/>
        <w:rPr/>
      </w:pPr>
      <w:r>
        <w:rPr>
          <w:b/>
          <w:bCs/>
        </w:rPr>
        <w:t>Art. 5 – Strumentazione tecnologica, sicurezza informatica e protezione dei dati</w:t>
      </w:r>
    </w:p>
    <w:p>
      <w:pPr>
        <w:pStyle w:val="Normal"/>
        <w:spacing w:lineRule="auto" w:line="276" w:before="0" w:after="110"/>
        <w:jc w:val="both"/>
        <w:rPr/>
      </w:pPr>
      <w:r>
        <w:rPr/>
        <w:t>5.1 La dotazione tecnologica utilizzata è la seguente:</w:t>
      </w:r>
    </w:p>
    <w:p>
      <w:pPr>
        <w:pStyle w:val="Normal"/>
        <w:spacing w:lineRule="auto" w:line="276" w:before="0" w:after="80"/>
        <w:ind w:hanging="259" w:start="431"/>
        <w:jc w:val="both"/>
        <w:rPr/>
      </w:pPr>
      <w:r>
        <w:rPr/>
        <w:t>[ ] PC portatile dell’Ente, inventario n. ____________________;</w:t>
      </w:r>
    </w:p>
    <w:p>
      <w:pPr>
        <w:pStyle w:val="Normal"/>
        <w:spacing w:lineRule="auto" w:line="276" w:before="0" w:after="80"/>
        <w:ind w:hanging="259" w:start="431"/>
        <w:jc w:val="both"/>
        <w:rPr/>
      </w:pPr>
      <w:r>
        <w:rPr/>
        <w:t>[ ] dispositivo di proprietà del/della dipendente, ammesso in via eccezionale, autorizzato in data ______________ previa verifica di conformità del servizio informatico, nel rispetto delle policy ICT e di cybersicurezza dell’Ente e dei requisiti minimi di cui all’articolo 12 del Regolamento comunale; l’autorizzazione è revocabile in caso di mancato mantenimento dei requisiti;</w:t>
      </w:r>
    </w:p>
    <w:p>
      <w:pPr>
        <w:pStyle w:val="Normal"/>
        <w:spacing w:lineRule="auto" w:line="276" w:before="0" w:after="80"/>
        <w:ind w:hanging="259" w:start="431"/>
        <w:jc w:val="both"/>
        <w:rPr/>
      </w:pPr>
      <w:r>
        <w:rPr/>
        <w:t>[ ] altro: ______________________________________________________________.</w:t>
      </w:r>
    </w:p>
    <w:p>
      <w:pPr>
        <w:pStyle w:val="Normal"/>
        <w:spacing w:lineRule="auto" w:line="276" w:before="0" w:after="110"/>
        <w:jc w:val="both"/>
        <w:rPr/>
      </w:pPr>
      <w:r>
        <w:rPr/>
        <w:t>5.2 Accesso remoto, account di posta e applicativi sono forniti dal servizio informatico dell’Ente. La connessione a internet è a carico del/della dipendente.</w:t>
      </w:r>
    </w:p>
    <w:p>
      <w:pPr>
        <w:pStyle w:val="Normal"/>
        <w:spacing w:lineRule="auto" w:line="276" w:before="0" w:after="110"/>
        <w:jc w:val="both"/>
        <w:rPr/>
      </w:pPr>
      <w:r>
        <w:rPr/>
        <w:t>5.3 Il/La dipendente custodisce con diligenza la strumentazione assegnata, ne fa un uso esclusivamente lavorativo, non ne consente l’utilizzo a terzi e segnala tempestivamente al servizio informatico ogni malfunzionamento, smarrimento, sottrazione o sospetto incidente di sicurezza informatica. In presenza di problematiche di natura tecnica e/o informatica, o comunque di cattivo funzionamento dei sistemi informatici, che impediscano o rallentino sensibilmente l’attività a distanza, il/la dipendente ne dà tempestiva informazione al Responsabile di Area; qualora tali problematiche rendano temporaneamente impossibile o non sicura la prestazione, il Responsabile può richiamare il/la dipendente a lavorare in presenza con congruo preavviso, ai sensi dell’articolo 41, comma 4, del CCNL 23 febbraio 2026. In caso di ripresa del lavoro in presenza, il/la dipendente completa la prestazione fino al termine del proprio orario ordinario di lavoro.</w:t>
      </w:r>
    </w:p>
    <w:p>
      <w:pPr>
        <w:pStyle w:val="Normal"/>
        <w:spacing w:lineRule="auto" w:line="276" w:before="0" w:after="110"/>
        <w:jc w:val="both"/>
        <w:rPr/>
      </w:pPr>
      <w:r>
        <w:rPr/>
        <w:t>5.4 Il/La dipendente tratta i dati personali quale soggetto autorizzato ai sensi dell’articolo 29 del Regolamento (UE) 2016/679 e dell’articolo 2-quaterdecies del d.lgs. n. 196/2003, nel rispetto delle istruzioni impartite dal titolare del trattamento, e si attiene alle direttive dell’Ente in materia di cybersicurezza.</w:t>
      </w:r>
    </w:p>
    <w:p>
      <w:pPr>
        <w:pStyle w:val="Normal"/>
        <w:keepNext w:val="true"/>
        <w:spacing w:before="260" w:after="120"/>
        <w:rPr/>
      </w:pPr>
      <w:r>
        <w:rPr>
          <w:b/>
          <w:bCs/>
        </w:rPr>
        <w:t>Art. 6 – Obiettivi, indicatori e monitoraggio della performance</w:t>
      </w:r>
    </w:p>
    <w:p>
      <w:pPr>
        <w:pStyle w:val="Normal"/>
        <w:spacing w:lineRule="auto" w:line="276" w:before="0" w:after="110"/>
        <w:jc w:val="both"/>
        <w:rPr/>
      </w:pPr>
      <w:r>
        <w:rPr/>
        <w:t>6.1 In coerenza con il PIAO e con il Sistema di misurazione e valutazione della performance, al/alla dipendente sono assegnati i seguenti obiettivi o prodotti, con i relativi indicatori e termini:</w:t>
      </w:r>
    </w:p>
    <w:p>
      <w:pPr>
        <w:pStyle w:val="Normal"/>
        <w:spacing w:lineRule="auto" w:line="276" w:before="0" w:after="80"/>
        <w:ind w:hanging="259" w:start="431"/>
        <w:jc w:val="both"/>
        <w:rPr/>
      </w:pPr>
      <w:r>
        <w:rPr/>
        <w:t>1) ______________________________________________________________________________</w:t>
      </w:r>
    </w:p>
    <w:p>
      <w:pPr>
        <w:pStyle w:val="Normal"/>
        <w:spacing w:lineRule="auto" w:line="276" w:before="0" w:after="80"/>
        <w:ind w:hanging="259" w:start="431"/>
        <w:jc w:val="both"/>
        <w:rPr/>
      </w:pPr>
      <w:r>
        <w:rPr/>
        <w:t>2) ______________________________________________________________________________</w:t>
      </w:r>
    </w:p>
    <w:p>
      <w:pPr>
        <w:pStyle w:val="Normal"/>
        <w:spacing w:lineRule="auto" w:line="276" w:before="0" w:after="80"/>
        <w:ind w:hanging="259" w:start="431"/>
        <w:jc w:val="both"/>
        <w:rPr/>
      </w:pPr>
      <w:r>
        <w:rPr/>
        <w:t>3) ______________________________________________________________________________</w:t>
      </w:r>
    </w:p>
    <w:p>
      <w:pPr>
        <w:pStyle w:val="Normal"/>
        <w:spacing w:lineRule="auto" w:line="276" w:before="0" w:after="110"/>
        <w:jc w:val="both"/>
        <w:rPr/>
      </w:pPr>
      <w:r>
        <w:rPr/>
        <w:t>6.2 La verifica dei risultati è effettuata dal Responsabile di Area con cadenza  [ ] mensile   [ ] trimestrale, e ne è dato atto per iscritto.</w:t>
      </w:r>
    </w:p>
    <w:p>
      <w:pPr>
        <w:pStyle w:val="Normal"/>
        <w:keepNext w:val="true"/>
        <w:spacing w:before="260" w:after="120"/>
        <w:rPr/>
      </w:pPr>
      <w:r>
        <w:rPr>
          <w:b/>
          <w:bCs/>
        </w:rPr>
        <w:t>Art. 7 – Trattamento economico, istituti non compatibili e buono pasto</w:t>
      </w:r>
    </w:p>
    <w:p>
      <w:pPr>
        <w:pStyle w:val="Normal"/>
        <w:spacing w:lineRule="auto" w:line="276" w:before="0" w:after="110"/>
        <w:jc w:val="both"/>
        <w:rPr/>
      </w:pPr>
      <w:r>
        <w:rPr/>
        <w:t>7.1 Lo svolgimento della prestazione in modalità agile non modifica la posizione giuridica ed economica del/della dipendente, né incide sulle opportunità di progressione professionale e di carriera.</w:t>
      </w:r>
    </w:p>
    <w:p>
      <w:pPr>
        <w:pStyle w:val="Normal"/>
        <w:spacing w:lineRule="auto" w:line="276" w:before="0" w:after="110"/>
        <w:jc w:val="both"/>
        <w:rPr/>
      </w:pPr>
      <w:r>
        <w:rPr/>
        <w:t>7.2 Ai sensi dell’articolo 41, comma 3, del CCNL 23 febbraio 2026, nelle giornate rese in modalità agile non è possibile effettuare lavoro straordinario, trasferte, lavoro disagiato e lavoro svolto in condizioni di rischio; non sono conseguentemente configurabili prestazioni eccedenti l’orario ordinari</w:t>
      </w:r>
      <w:r>
        <w:rPr>
          <w:shd w:fill="auto" w:val="clear"/>
        </w:rPr>
        <w:t xml:space="preserve">o, </w:t>
      </w:r>
      <w:r>
        <w:rPr>
          <w:shd w:fill="auto" w:val="clear"/>
        </w:rPr>
        <w:t>l’accumulo ai fini della</w:t>
      </w:r>
      <w:r>
        <w:rPr/>
        <w:t xml:space="preserve"> banca delle ore e le indennità correlate alla presenza in servizio. Qualora esigenze di servizio richiedano attività non eseguibili a distanza o, ricorrendone i presupposti, prestazioni eccedenti l’orario ordinario, il Responsabile di Area dispone il richiamo in presenza nel rispetto del punto 9.4; una volta ripresa la prestazione in presenza trovano applicazione, ove ne ricorrano i presupposti, i corrispondenti istituti contrattuali.</w:t>
      </w:r>
    </w:p>
    <w:p>
      <w:pPr>
        <w:pStyle w:val="Normal"/>
        <w:spacing w:lineRule="auto" w:line="276" w:before="0" w:after="110"/>
        <w:jc w:val="both"/>
        <w:rPr/>
      </w:pPr>
      <w:r>
        <w:rPr/>
        <w:t>7.3 Nelle giornate di lavoro agile il buono pasto spetta alle condizioni previste dalla disciplina contrattuale in materia di servizio mensa e buono pasto (articolo 27 del CCNL 23 febbraio 2026) e da eventuali previsioni di maggior favore della contrattazione integrativa, alle medesime condizioni stabilite per la prestazione resa in presenza. Ai fini dell’erogazione, le ore di lavoro convenzionali della giornata resa in modalità agile sono pari alle ore di lavoro ordinarie che il/la dipendente avrebbe svolto per la medesima giornata in presenza, ai sensi dell’articolo 41, comma 3-bis, del CCNL 23 febbraio 2026. Non è richiesta alcuna rilevazione della pausa né della durata effettiva della prestazione.</w:t>
      </w:r>
    </w:p>
    <w:p>
      <w:pPr>
        <w:pStyle w:val="Normal"/>
        <w:keepNext w:val="true"/>
        <w:spacing w:before="260" w:after="120"/>
        <w:rPr/>
      </w:pPr>
      <w:r>
        <w:rPr>
          <w:b/>
          <w:bCs/>
        </w:rPr>
        <w:t>Art. 8 – Salute e sicurezza, potere di controllo e condotte disciplinarmente rilevanti</w:t>
      </w:r>
    </w:p>
    <w:p>
      <w:pPr>
        <w:pStyle w:val="Normal"/>
        <w:spacing w:lineRule="auto" w:line="276" w:before="0" w:after="110"/>
        <w:jc w:val="both"/>
        <w:rPr/>
      </w:pPr>
      <w:r>
        <w:rPr/>
        <w:t>8.1 Il/La dipendente dichiara di aver ricevuto l’informativa scritta sui rischi generali e specifici connessi alla prestazione resa in modalità agile, con particolare riguardo all’utilizzo dei videoterminali, e si impegna a cooperare all’attuazione delle misure di prevenzione predisposte dall’Ente. L’informativa è rinnovata con cadenza almeno annuale ed è consegnata anche al rappresentante dei lavoratori per la sicurezza.</w:t>
      </w:r>
    </w:p>
    <w:p>
      <w:pPr>
        <w:pStyle w:val="Normal"/>
        <w:spacing w:lineRule="auto" w:line="276" w:before="0" w:after="110"/>
        <w:jc w:val="both"/>
        <w:rPr/>
      </w:pPr>
      <w:r>
        <w:rPr/>
        <w:t>8.2 Il/La dipendente è tutelato/a contro gli infortuni sul lavoro e le malattie professionali dipendenti da rischi connessi alla prestazione resa all’esterno dei locali dell’Ente, nonché contro gli infortuni occorsi durante il normale percorso di andata e ritorno dal luogo di abitazione a quello prescelto per lo svolgimento della prestazione, alle condizioni di cui all’articolo 23, commi 2 e 3, della legge n. 81/2017.</w:t>
      </w:r>
    </w:p>
    <w:p>
      <w:pPr>
        <w:pStyle w:val="Normal"/>
        <w:spacing w:lineRule="auto" w:line="276" w:before="0" w:after="110"/>
        <w:jc w:val="both"/>
        <w:rPr/>
      </w:pPr>
      <w:r>
        <w:rPr/>
        <w:t>8.3 Il potere direttivo è esercitato dal Responsabile di Area mediante assegnazione di obiettivi, definizione delle priorità, richiesta di riscontri e relazioni e partecipazione a riunioni telematiche nella fascia di contattabilità. Il potere di controllo si esercita sui risultati della prestazione, nel rispetto degli articoli 4 e 8 della legge n. 300/1970 e della disciplina in materia di protezione dei dati personali; è escluso ogni controllo a distanza non consentito dalla legge.</w:t>
      </w:r>
    </w:p>
    <w:p>
      <w:pPr>
        <w:pStyle w:val="Normal"/>
        <w:spacing w:lineRule="auto" w:line="276" w:before="0" w:after="110"/>
        <w:jc w:val="both"/>
        <w:rPr/>
      </w:pPr>
      <w:r>
        <w:rPr/>
        <w:t>8.4 Ai sensi dell’articolo 21 della legge n. 81/2017, costituiscono condotte connesse all’esecuzione della prestazione all’esterno dei locali dell’Ente che danno luogo all’applicazione di sanzioni disciplinari:</w:t>
      </w:r>
    </w:p>
    <w:p>
      <w:pPr>
        <w:pStyle w:val="Normal"/>
        <w:spacing w:lineRule="auto" w:line="276" w:before="0" w:after="80"/>
        <w:ind w:hanging="259" w:start="431"/>
        <w:jc w:val="both"/>
        <w:rPr/>
      </w:pPr>
      <w:r>
        <w:rPr/>
        <w:t>a) l’ingiustificata irreperibilità nella fascia di contattabilità;</w:t>
      </w:r>
    </w:p>
    <w:p>
      <w:pPr>
        <w:pStyle w:val="Normal"/>
        <w:spacing w:lineRule="auto" w:line="276" w:before="0" w:after="80"/>
        <w:ind w:hanging="259" w:start="431"/>
        <w:jc w:val="both"/>
        <w:rPr/>
      </w:pPr>
      <w:r>
        <w:rPr/>
        <w:t>b) la mancata esecuzione della prestazione nella giornata programmata;</w:t>
      </w:r>
    </w:p>
    <w:p>
      <w:pPr>
        <w:pStyle w:val="Normal"/>
        <w:spacing w:lineRule="auto" w:line="276" w:before="0" w:after="80"/>
        <w:ind w:hanging="259" w:start="431"/>
        <w:jc w:val="both"/>
        <w:rPr/>
      </w:pPr>
      <w:r>
        <w:rPr/>
        <w:t>c) lo svolgimento della prestazione in luogo diverso da quello indicato o privo delle condizioni di idoneità di cui all’articolo 4;</w:t>
      </w:r>
    </w:p>
    <w:p>
      <w:pPr>
        <w:pStyle w:val="Normal"/>
        <w:spacing w:lineRule="auto" w:line="276" w:before="0" w:after="80"/>
        <w:ind w:hanging="259" w:start="431"/>
        <w:jc w:val="both"/>
        <w:rPr/>
      </w:pPr>
      <w:r>
        <w:rPr/>
        <w:t>d) l’utilizzo improprio della strumentazione assegnata;</w:t>
      </w:r>
    </w:p>
    <w:p>
      <w:pPr>
        <w:pStyle w:val="Normal"/>
        <w:spacing w:lineRule="auto" w:line="276" w:before="0" w:after="80"/>
        <w:ind w:hanging="259" w:start="431"/>
        <w:jc w:val="both"/>
        <w:rPr/>
      </w:pPr>
      <w:r>
        <w:rPr/>
        <w:t>e) la violazione delle misure di sicurezza informatica e degli obblighi di riservatezza;</w:t>
      </w:r>
    </w:p>
    <w:p>
      <w:pPr>
        <w:pStyle w:val="Normal"/>
        <w:spacing w:lineRule="auto" w:line="276" w:before="0" w:after="80"/>
        <w:ind w:hanging="259" w:start="431"/>
        <w:jc w:val="both"/>
        <w:rPr/>
      </w:pPr>
      <w:r>
        <w:rPr/>
        <w:t>f) l’omessa o tardiva segnalazione di malfunzionamenti o incidenti di sicurezza;</w:t>
      </w:r>
    </w:p>
    <w:p>
      <w:pPr>
        <w:pStyle w:val="Normal"/>
        <w:spacing w:lineRule="auto" w:line="276" w:before="0" w:after="80"/>
        <w:ind w:hanging="259" w:start="431"/>
        <w:jc w:val="both"/>
        <w:rPr/>
      </w:pPr>
      <w:r>
        <w:rPr/>
        <w:t>g) la falsa attestazione relativa allo svolgimento della prestazione.</w:t>
      </w:r>
    </w:p>
    <w:p>
      <w:pPr>
        <w:pStyle w:val="Normal"/>
        <w:spacing w:lineRule="auto" w:line="276" w:before="0" w:after="110"/>
        <w:jc w:val="both"/>
        <w:rPr/>
      </w:pPr>
      <w:r>
        <w:rPr/>
        <w:t>8.5 Si applicano il codice disciplinare del CCNL vigente, il d.P.R. n. 62/2013 e il codice di comportamento del Comune di Malnate, dei quali il/la dipendente dichiara di aver preso visione.</w:t>
      </w:r>
    </w:p>
    <w:p>
      <w:pPr>
        <w:pStyle w:val="Normal"/>
        <w:keepNext w:val="true"/>
        <w:spacing w:before="260" w:after="120"/>
        <w:rPr/>
      </w:pPr>
      <w:r>
        <w:rPr>
          <w:b/>
          <w:bCs/>
        </w:rPr>
        <w:t>Art. 9 – Recesso, rientro in presenza e modifiche</w:t>
      </w:r>
    </w:p>
    <w:p>
      <w:pPr>
        <w:pStyle w:val="Normal"/>
        <w:spacing w:lineRule="auto" w:line="276" w:before="0" w:after="110"/>
        <w:jc w:val="both"/>
        <w:rPr/>
      </w:pPr>
      <w:r>
        <w:rPr/>
        <w:t>9.1 Trattandosi di accordo a tempo determinato, in presenza di un giustificato motivo ciascuna delle parti può recedere prima della scadenza del termine, ai sensi dell’articolo 19, comma 2, della legge n. 81/2017.</w:t>
      </w:r>
    </w:p>
    <w:p>
      <w:pPr>
        <w:pStyle w:val="Normal"/>
        <w:spacing w:lineRule="auto" w:line="276" w:before="0" w:after="110"/>
        <w:jc w:val="both"/>
        <w:rPr/>
      </w:pPr>
      <w:r>
        <w:rPr/>
        <w:t>9.2 Il recesso è esercitato con atto scritto e motivato, comunicato all’altra parte a mezzo posta elettronica certificata o protocollo dell’Ente, e ha effetto dalla data indicata nell’atto e comunque non prima del suo ricevimento.</w:t>
      </w:r>
    </w:p>
    <w:p>
      <w:pPr>
        <w:pStyle w:val="Normal"/>
        <w:spacing w:lineRule="auto" w:line="276" w:before="0" w:after="110"/>
        <w:jc w:val="both"/>
        <w:rPr/>
      </w:pPr>
      <w:r>
        <w:rPr/>
        <w:t>9.3 Costituiscono, a titolo esemplificativo, giustificato motivo di recesso da parte dell’Ente: sopravvenute e documentate esigenze organizzative o di servizio; il mancato raggiungimento degli obiettivi assegnati per causa imputabile al/alla dipendente; la reiterata e ingiustificata inosservanza della fascia di contattabilità; il venir meno dei requisiti tecnologici o delle condizioni di sicurezza e riservatezza; le gravi violazioni degli obblighi di cui agli articoli 4, 5 e 8.</w:t>
      </w:r>
    </w:p>
    <w:p>
      <w:pPr>
        <w:pStyle w:val="Normal"/>
        <w:spacing w:lineRule="auto" w:line="276" w:before="0" w:after="110"/>
        <w:jc w:val="both"/>
        <w:rPr/>
      </w:pPr>
      <w:r>
        <w:rPr/>
        <w:t>9.4 Indipendentemente dal recesso, il Responsabile di Area può disporre il richiamo in presenza per singole giornate nelle ipotesi previste dall’articolo 41, commi 4 e 5, del CCNL 23 febbraio 2026: a) in caso di problematiche di natura tecnica e/o informatica, o comunque di cattivo funzionamento dei sistemi informatici, che impediscano o rallentino sensibilmente l’attività a distanza, previa tempestiva informazione del/della dipendente, con congruo preavviso; in caso di ripresa del lavoro in presenza, il/la dipendente completa la prestazione fino al termine del proprio orario ordinario di lavoro; b) per sopravvenute esigenze di servizio, con comunicazione scritta che deve pervenire in tempo utile per la ripresa del servizio e, comunque, almeno il giorno prima. Il richiamo in presenza non comporta modifica del presente accordo; nel caso di cui alla lettera b), il rientro non comporta un automatico diritto al recupero della giornata di lavoro agile non fruita.</w:t>
      </w:r>
    </w:p>
    <w:p>
      <w:pPr>
        <w:pStyle w:val="Normal"/>
        <w:spacing w:lineRule="auto" w:line="276" w:before="0" w:after="110"/>
        <w:jc w:val="both"/>
        <w:rPr/>
      </w:pPr>
      <w:r>
        <w:rPr/>
        <w:t>9.5 Sono comunque rese in presenza le attività non eseguibili a distanza, fra cui la partecipazione alle sedute degli organi collegiali, la ricezione dell’utenza e le attività connesse alle consultazioni elettorali.</w:t>
      </w:r>
    </w:p>
    <w:p>
      <w:pPr>
        <w:pStyle w:val="Normal"/>
        <w:spacing w:lineRule="auto" w:line="276" w:before="0" w:after="110"/>
        <w:jc w:val="both"/>
        <w:rPr/>
      </w:pPr>
      <w:r>
        <w:rPr/>
        <w:t>9.6 Ogni modifica del presente accordo è concordata per iscritto fra le parti.</w:t>
      </w:r>
    </w:p>
    <w:p>
      <w:pPr>
        <w:pStyle w:val="Normal"/>
        <w:keepNext w:val="true"/>
        <w:spacing w:before="260" w:after="120"/>
        <w:rPr/>
      </w:pPr>
      <w:r>
        <w:rPr>
          <w:b/>
          <w:bCs/>
        </w:rPr>
        <w:t>Art. 10 – Rinvio</w:t>
      </w:r>
    </w:p>
    <w:p>
      <w:pPr>
        <w:pStyle w:val="Normal"/>
        <w:spacing w:lineRule="auto" w:line="276" w:before="0" w:after="110"/>
        <w:jc w:val="both"/>
        <w:rPr/>
      </w:pPr>
      <w:r>
        <w:rPr/>
        <w:t>10.1 Per quanto non espressamente previsto si rinvia al Regolamento comunale per la disciplina del lavoro agile, alla legge n. 81/2017, al d.lgs. n. 165/2001 e ai contratti collettivi nazionali e integrativi vigenti nel tempo.</w:t>
      </w:r>
    </w:p>
    <w:p>
      <w:pPr>
        <w:pStyle w:val="Normal"/>
        <w:spacing w:lineRule="auto" w:line="276" w:before="0" w:after="110"/>
        <w:jc w:val="both"/>
        <w:rPr/>
      </w:pPr>
      <w:r>
        <w:rPr/>
        <w:t>10.2 Il presente accordo è redatto in duplice originale, uno per ciascuna delle parti, ed è conservato nel fascicolo personale del/della dipendente. È esente dall’imposta di bollo ai sensi del n. 25 della Tabella B allegata al d.P.R. 26 ottobre 1972, n. 642.</w:t>
      </w:r>
    </w:p>
    <w:p>
      <w:pPr>
        <w:pStyle w:val="Normal"/>
        <w:spacing w:before="320" w:after="200"/>
        <w:rPr/>
      </w:pPr>
      <w:r>
        <w:rPr/>
        <w:t>Malnate, lì ____/____/________</w:t>
      </w:r>
    </w:p>
    <w:tbl>
      <w:tblPr>
        <w:tblW w:w="9300" w:type="dxa"/>
        <w:jc w:val="start"/>
        <w:tblInd w:w="0" w:type="dxa"/>
        <w:tblLayout w:type="fixed"/>
        <w:tblCellMar>
          <w:top w:w="80" w:type="dxa"/>
          <w:start w:w="100" w:type="dxa"/>
          <w:bottom w:w="80" w:type="dxa"/>
          <w:end w:w="100" w:type="dxa"/>
        </w:tblCellMar>
        <w:tblLook w:val="04a0" w:firstRow="1" w:noVBand="1" w:lastRow="0" w:firstColumn="1" w:lastColumn="0" w:noHBand="0"/>
      </w:tblPr>
      <w:tblGrid>
        <w:gridCol w:w="4650"/>
        <w:gridCol w:w="4650"/>
      </w:tblGrid>
      <w:tr>
        <w:trPr/>
        <w:tc>
          <w:tcPr>
            <w:tcW w:w="4650" w:type="dxa"/>
            <w:tcBorders/>
          </w:tcPr>
          <w:p>
            <w:pPr>
              <w:pStyle w:val="Normal"/>
              <w:widowControl w:val="false"/>
              <w:spacing w:before="0" w:after="40"/>
              <w:rPr/>
            </w:pPr>
            <w:r>
              <w:rPr>
                <w:sz w:val="20"/>
                <w:szCs w:val="20"/>
              </w:rPr>
              <w:t>IL/LA DIPENDENTE</w:t>
            </w:r>
          </w:p>
          <w:p>
            <w:pPr>
              <w:pStyle w:val="Normal"/>
              <w:widowControl w:val="false"/>
              <w:spacing w:before="0" w:after="40"/>
              <w:rPr/>
            </w:pPr>
            <w:r>
              <w:rPr/>
            </w:r>
          </w:p>
          <w:p>
            <w:pPr>
              <w:pStyle w:val="Normal"/>
              <w:widowControl w:val="false"/>
              <w:spacing w:before="0" w:after="40"/>
              <w:rPr/>
            </w:pPr>
            <w:r>
              <w:rPr/>
            </w:r>
          </w:p>
          <w:p>
            <w:pPr>
              <w:pStyle w:val="Normal"/>
              <w:widowControl w:val="false"/>
              <w:spacing w:before="0" w:after="40"/>
              <w:rPr/>
            </w:pPr>
            <w:r>
              <w:rPr>
                <w:sz w:val="20"/>
                <w:szCs w:val="20"/>
              </w:rPr>
              <w:t>____________________________</w:t>
            </w:r>
          </w:p>
        </w:tc>
        <w:tc>
          <w:tcPr>
            <w:tcW w:w="4650" w:type="dxa"/>
            <w:tcBorders/>
          </w:tcPr>
          <w:p>
            <w:pPr>
              <w:pStyle w:val="Normal"/>
              <w:widowControl w:val="false"/>
              <w:spacing w:before="0" w:after="40"/>
              <w:rPr/>
            </w:pPr>
            <w:r>
              <w:rPr>
                <w:sz w:val="20"/>
                <w:szCs w:val="20"/>
              </w:rPr>
              <w:t>IL/LA RESPONSABILE DELL’AREA</w:t>
            </w:r>
          </w:p>
          <w:p>
            <w:pPr>
              <w:pStyle w:val="Normal"/>
              <w:widowControl w:val="false"/>
              <w:spacing w:before="0" w:after="40"/>
              <w:rPr/>
            </w:pPr>
            <w:r>
              <w:rPr/>
            </w:r>
          </w:p>
          <w:p>
            <w:pPr>
              <w:pStyle w:val="Normal"/>
              <w:widowControl w:val="false"/>
              <w:spacing w:before="0" w:after="40"/>
              <w:rPr/>
            </w:pPr>
            <w:r>
              <w:rPr/>
            </w:r>
          </w:p>
          <w:p>
            <w:pPr>
              <w:pStyle w:val="Normal"/>
              <w:widowControl w:val="false"/>
              <w:spacing w:before="0" w:after="40"/>
              <w:rPr/>
            </w:pPr>
            <w:r>
              <w:rPr>
                <w:sz w:val="20"/>
                <w:szCs w:val="20"/>
              </w:rPr>
              <w:t>____________________________</w:t>
            </w:r>
          </w:p>
        </w:tc>
      </w:tr>
    </w:tbl>
    <w:p>
      <w:pPr>
        <w:pStyle w:val="Normal"/>
        <w:rPr/>
      </w:pPr>
      <w:r>
        <w:rPr/>
      </w:r>
    </w:p>
    <w:sectPr>
      <w:footerReference w:type="even" r:id="rId2"/>
      <w:footerReference w:type="default" r:id="rId3"/>
      <w:footerReference w:type="first" r:id="rId4"/>
      <w:type w:val="nextPage"/>
      <w:pgSz w:w="11906" w:h="16838"/>
      <w:pgMar w:left="1134" w:right="1134" w:gutter="0" w:header="0"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sz w:val="18"/>
        <w:szCs w:val="18"/>
      </w:rPr>
      <w:t xml:space="preserve">Pag. </w:t>
    </w:r>
    <w:r>
      <w:rPr>
        <w:sz w:val="18"/>
        <w:szCs w:val="18"/>
      </w:rPr>
      <w:fldChar w:fldCharType="begin"/>
    </w:r>
    <w:r>
      <w:rPr>
        <w:sz w:val="18"/>
        <w:szCs w:val="18"/>
      </w:rPr>
      <w:instrText xml:space="preserve"> PAGE </w:instrText>
    </w:r>
    <w:r>
      <w:rPr>
        <w:sz w:val="18"/>
        <w:szCs w:val="18"/>
      </w:rPr>
      <w:fldChar w:fldCharType="separate"/>
    </w:r>
    <w:r>
      <w:rPr>
        <w:sz w:val="18"/>
        <w:szCs w:val="18"/>
      </w:rPr>
      <w:t>6</w:t>
    </w:r>
    <w:r>
      <w:rPr>
        <w:sz w:val="18"/>
        <w:szCs w:val="18"/>
      </w:rPr>
      <w:fldChar w:fldCharType="end"/>
    </w:r>
    <w:r>
      <w:rPr>
        <w:sz w:val="18"/>
        <w:szCs w:val="18"/>
      </w:rPr>
      <w:t xml:space="preserve"> di </w:t>
    </w:r>
    <w:r>
      <w:rPr>
        <w:sz w:val="18"/>
        <w:szCs w:val="18"/>
      </w:rPr>
      <w:fldChar w:fldCharType="begin"/>
    </w:r>
    <w:r>
      <w:rPr>
        <w:sz w:val="18"/>
        <w:szCs w:val="18"/>
      </w:rPr>
      <w:instrText xml:space="preserve"> NUMPAGES </w:instrText>
    </w:r>
    <w:r>
      <w:rPr>
        <w:sz w:val="18"/>
        <w:szCs w:val="18"/>
      </w:rPr>
      <w:fldChar w:fldCharType="separate"/>
    </w:r>
    <w:r>
      <w:rPr>
        <w:sz w:val="18"/>
        <w:szCs w:val="18"/>
      </w:rPr>
      <w:t>6</w:t>
    </w:r>
    <w:r>
      <w:rPr>
        <w:sz w:val="18"/>
        <w:szCs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sz w:val="18"/>
        <w:szCs w:val="18"/>
      </w:rPr>
      <w:t xml:space="preserve">Pag. </w:t>
    </w:r>
    <w:r>
      <w:rPr>
        <w:sz w:val="18"/>
        <w:szCs w:val="18"/>
      </w:rPr>
      <w:fldChar w:fldCharType="begin"/>
    </w:r>
    <w:r>
      <w:rPr>
        <w:sz w:val="18"/>
        <w:szCs w:val="18"/>
      </w:rPr>
      <w:instrText xml:space="preserve"> PAGE </w:instrText>
    </w:r>
    <w:r>
      <w:rPr>
        <w:sz w:val="18"/>
        <w:szCs w:val="18"/>
      </w:rPr>
      <w:fldChar w:fldCharType="separate"/>
    </w:r>
    <w:r>
      <w:rPr>
        <w:sz w:val="18"/>
        <w:szCs w:val="18"/>
      </w:rPr>
      <w:t>6</w:t>
    </w:r>
    <w:r>
      <w:rPr>
        <w:sz w:val="18"/>
        <w:szCs w:val="18"/>
      </w:rPr>
      <w:fldChar w:fldCharType="end"/>
    </w:r>
    <w:r>
      <w:rPr>
        <w:sz w:val="18"/>
        <w:szCs w:val="18"/>
      </w:rPr>
      <w:t xml:space="preserve"> di </w:t>
    </w:r>
    <w:r>
      <w:rPr>
        <w:sz w:val="18"/>
        <w:szCs w:val="18"/>
      </w:rPr>
      <w:fldChar w:fldCharType="begin"/>
    </w:r>
    <w:r>
      <w:rPr>
        <w:sz w:val="18"/>
        <w:szCs w:val="18"/>
      </w:rPr>
      <w:instrText xml:space="preserve"> NUMPAGES </w:instrText>
    </w:r>
    <w:r>
      <w:rPr>
        <w:sz w:val="18"/>
        <w:szCs w:val="18"/>
      </w:rPr>
      <w:fldChar w:fldCharType="separate"/>
    </w:r>
    <w:r>
      <w:rPr>
        <w:sz w:val="18"/>
        <w:szCs w:val="18"/>
      </w:rPr>
      <w:t>6</w:t>
    </w:r>
    <w:r>
      <w:rPr>
        <w:sz w:val="18"/>
        <w:szCs w:val="18"/>
      </w:rPr>
      <w:fldChar w:fldCharType="end"/>
    </w:r>
  </w:p>
</w:ftr>
</file>

<file path=word/settings.xml><?xml version="1.0" encoding="utf-8"?>
<w:settings xmlns:w="http://schemas.openxmlformats.org/wordprocessingml/2006/main">
  <w:zoom w:percent="140"/>
  <w:defaultTabStop w:val="708"/>
  <w:autoHyphenation w:val="true"/>
  <w:hyphenationZone w:val="36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2"/>
      <w:szCs w:val="22"/>
      <w:lang w:val="it-IT" w:eastAsia="it-IT" w:bidi="ar-SA"/>
    </w:rPr>
  </w:style>
  <w:style w:type="paragraph" w:styleId="Heading1">
    <w:name w:val="heading 1"/>
    <w:uiPriority w:val="9"/>
    <w:qFormat/>
    <w:pPr>
      <w:widowControl/>
      <w:suppressAutoHyphens w:val="true"/>
      <w:bidi w:val="0"/>
      <w:spacing w:before="0" w:after="0"/>
      <w:jc w:val="start"/>
      <w:outlineLvl w:val="0"/>
    </w:pPr>
    <w:rPr>
      <w:rFonts w:ascii="Times New Roman" w:hAnsi="Times New Roman" w:eastAsia="Times New Roman" w:cs="Times New Roman"/>
      <w:color w:val="2E74B5"/>
      <w:kern w:val="0"/>
      <w:sz w:val="32"/>
      <w:szCs w:val="32"/>
      <w:lang w:val="it-IT" w:eastAsia="it-IT" w:bidi="ar-SA"/>
    </w:rPr>
  </w:style>
  <w:style w:type="paragraph" w:styleId="Heading2">
    <w:name w:val="heading 2"/>
    <w:uiPriority w:val="9"/>
    <w:semiHidden/>
    <w:unhideWhenUsed/>
    <w:qFormat/>
    <w:pPr>
      <w:widowControl/>
      <w:suppressAutoHyphens w:val="true"/>
      <w:bidi w:val="0"/>
      <w:spacing w:before="0" w:after="0"/>
      <w:jc w:val="start"/>
      <w:outlineLvl w:val="1"/>
    </w:pPr>
    <w:rPr>
      <w:rFonts w:ascii="Times New Roman" w:hAnsi="Times New Roman" w:eastAsia="Times New Roman" w:cs="Times New Roman"/>
      <w:color w:val="2E74B5"/>
      <w:kern w:val="0"/>
      <w:sz w:val="26"/>
      <w:szCs w:val="26"/>
      <w:lang w:val="it-IT" w:eastAsia="it-IT" w:bidi="ar-SA"/>
    </w:rPr>
  </w:style>
  <w:style w:type="paragraph" w:styleId="Heading3">
    <w:name w:val="heading 3"/>
    <w:uiPriority w:val="9"/>
    <w:semiHidden/>
    <w:unhideWhenUsed/>
    <w:qFormat/>
    <w:pPr>
      <w:widowControl/>
      <w:suppressAutoHyphens w:val="true"/>
      <w:bidi w:val="0"/>
      <w:spacing w:before="0" w:after="0"/>
      <w:jc w:val="start"/>
      <w:outlineLvl w:val="2"/>
    </w:pPr>
    <w:rPr>
      <w:rFonts w:ascii="Times New Roman" w:hAnsi="Times New Roman" w:eastAsia="Times New Roman" w:cs="Times New Roman"/>
      <w:color w:val="1F4D78"/>
      <w:kern w:val="0"/>
      <w:sz w:val="24"/>
      <w:szCs w:val="24"/>
      <w:lang w:val="it-IT" w:eastAsia="it-IT" w:bidi="ar-SA"/>
    </w:rPr>
  </w:style>
  <w:style w:type="paragraph" w:styleId="Heading4">
    <w:name w:val="heading 4"/>
    <w:uiPriority w:val="9"/>
    <w:semiHidden/>
    <w:unhideWhenUsed/>
    <w:qFormat/>
    <w:pPr>
      <w:widowControl/>
      <w:suppressAutoHyphens w:val="true"/>
      <w:bidi w:val="0"/>
      <w:spacing w:before="0" w:after="0"/>
      <w:jc w:val="start"/>
      <w:outlineLvl w:val="3"/>
    </w:pPr>
    <w:rPr>
      <w:rFonts w:ascii="Times New Roman" w:hAnsi="Times New Roman" w:eastAsia="Times New Roman" w:cs="Times New Roman"/>
      <w:i/>
      <w:iCs/>
      <w:color w:val="2E74B5"/>
      <w:kern w:val="0"/>
      <w:sz w:val="22"/>
      <w:szCs w:val="22"/>
      <w:lang w:val="it-IT" w:eastAsia="it-IT" w:bidi="ar-SA"/>
    </w:rPr>
  </w:style>
  <w:style w:type="paragraph" w:styleId="Heading5">
    <w:name w:val="heading 5"/>
    <w:uiPriority w:val="9"/>
    <w:semiHidden/>
    <w:unhideWhenUsed/>
    <w:qFormat/>
    <w:pPr>
      <w:widowControl/>
      <w:suppressAutoHyphens w:val="true"/>
      <w:bidi w:val="0"/>
      <w:spacing w:before="0" w:after="0"/>
      <w:jc w:val="start"/>
      <w:outlineLvl w:val="4"/>
    </w:pPr>
    <w:rPr>
      <w:rFonts w:ascii="Times New Roman" w:hAnsi="Times New Roman" w:eastAsia="Times New Roman" w:cs="Times New Roman"/>
      <w:color w:val="2E74B5"/>
      <w:kern w:val="0"/>
      <w:sz w:val="22"/>
      <w:szCs w:val="22"/>
      <w:lang w:val="it-IT" w:eastAsia="it-IT" w:bidi="ar-SA"/>
    </w:rPr>
  </w:style>
  <w:style w:type="paragraph" w:styleId="Heading6">
    <w:name w:val="heading 6"/>
    <w:uiPriority w:val="9"/>
    <w:semiHidden/>
    <w:unhideWhenUsed/>
    <w:qFormat/>
    <w:pPr>
      <w:widowControl/>
      <w:suppressAutoHyphens w:val="true"/>
      <w:bidi w:val="0"/>
      <w:spacing w:before="0" w:after="0"/>
      <w:jc w:val="start"/>
      <w:outlineLvl w:val="5"/>
    </w:pPr>
    <w:rPr>
      <w:rFonts w:ascii="Times New Roman" w:hAnsi="Times New Roman" w:eastAsia="Times New Roman" w:cs="Times New Roman"/>
      <w:color w:val="1F4D78"/>
      <w:kern w:val="0"/>
      <w:sz w:val="22"/>
      <w:szCs w:val="22"/>
      <w:lang w:val="it-IT" w:eastAsia="it-IT" w:bidi="ar-SA"/>
    </w:rPr>
  </w:style>
  <w:style w:type="character" w:styleId="DefaultParagraphFont" w:default="1">
    <w:name w:val="Default Paragraph Font"/>
    <w:uiPriority w:val="1"/>
    <w:semiHidden/>
    <w:unhideWhenUsed/>
    <w:qFormat/>
    <w:rPr/>
  </w:style>
  <w:style w:type="character" w:styleId="Hyperlink">
    <w:name w:val="Hyperlink"/>
    <w:uiPriority w:val="99"/>
    <w:unhideWhenUsed/>
    <w:rPr>
      <w:color w:val="0563C1"/>
      <w:u w:val="single"/>
    </w:rPr>
  </w:style>
  <w:style w:type="character" w:styleId="Caratterinotaapidipaginauser">
    <w:name w:val="Caratteri nota a piè di pagina (user)"/>
    <w:uiPriority w:val="99"/>
    <w:semiHidden/>
    <w:unhideWhenUsed/>
    <w:qFormat/>
    <w:rPr>
      <w:vertAlign w:val="superscript"/>
    </w:rPr>
  </w:style>
  <w:style w:type="character" w:styleId="Caratterinotaapidipagina">
    <w:name w:val="Caratteri nota a piè di pagina"/>
    <w:qFormat/>
    <w:rPr>
      <w:vertAlign w:val="superscript"/>
    </w:rPr>
  </w:style>
  <w:style w:type="character" w:styleId="FootnoteReference">
    <w:name w:val="footnote reference"/>
    <w:rPr>
      <w:vertAlign w:val="superscript"/>
    </w:rPr>
  </w:style>
  <w:style w:type="character" w:styleId="TestonotaapidipaginaCarattere" w:customStyle="1">
    <w:name w:val="Testo nota a piè di pagina Carattere"/>
    <w:uiPriority w:val="99"/>
    <w:semiHidden/>
    <w:unhideWhenUsed/>
    <w:qFormat/>
    <w:rPr>
      <w:sz w:val="20"/>
      <w:szCs w:val="20"/>
    </w:rPr>
  </w:style>
  <w:style w:type="character" w:styleId="Caratterinotadichiusurauser">
    <w:name w:val="Caratteri nota di chiusura (user)"/>
    <w:uiPriority w:val="99"/>
    <w:semiHidden/>
    <w:unhideWhenUsed/>
    <w:qFormat/>
    <w:rPr>
      <w:vertAlign w:val="superscript"/>
    </w:rPr>
  </w:style>
  <w:style w:type="character" w:styleId="Caratterinotadichiusura">
    <w:name w:val="Caratteri nota di chiusura"/>
    <w:qFormat/>
    <w:rPr>
      <w:vertAlign w:val="superscript"/>
    </w:rPr>
  </w:style>
  <w:style w:type="character" w:styleId="EndnoteReference">
    <w:name w:val="endnote reference"/>
    <w:rPr>
      <w:vertAlign w:val="superscript"/>
    </w:rPr>
  </w:style>
  <w:style w:type="character" w:styleId="TestonotadichiusuraCarattere" w:customStyle="1">
    <w:name w:val="Testo nota di chiusura Carattere"/>
    <w:uiPriority w:val="99"/>
    <w:semiHidden/>
    <w:unhideWhenUsed/>
    <w:qFormat/>
    <w:rPr>
      <w:sz w:val="20"/>
      <w:szCs w:val="20"/>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Title">
    <w:name w:val="Title"/>
    <w:uiPriority w:val="10"/>
    <w:qFormat/>
    <w:pPr>
      <w:widowControl/>
      <w:suppressAutoHyphens w:val="true"/>
      <w:bidi w:val="0"/>
      <w:spacing w:before="0" w:after="0"/>
      <w:jc w:val="start"/>
    </w:pPr>
    <w:rPr>
      <w:rFonts w:ascii="Times New Roman" w:hAnsi="Times New Roman" w:eastAsia="Times New Roman" w:cs="Times New Roman"/>
      <w:color w:val="auto"/>
      <w:kern w:val="0"/>
      <w:sz w:val="56"/>
      <w:szCs w:val="56"/>
      <w:lang w:val="it-IT" w:eastAsia="it-IT" w:bidi="ar-SA"/>
    </w:rPr>
  </w:style>
  <w:style w:type="paragraph" w:styleId="Enfasigrassetto1" w:customStyle="1">
    <w:name w:val="Enfasi (grassetto)1"/>
    <w:qFormat/>
    <w:pPr>
      <w:widowControl/>
      <w:suppressAutoHyphens w:val="true"/>
      <w:bidi w:val="0"/>
      <w:spacing w:before="0" w:after="0"/>
      <w:jc w:val="start"/>
    </w:pPr>
    <w:rPr>
      <w:rFonts w:ascii="Times New Roman" w:hAnsi="Times New Roman" w:eastAsia="Times New Roman" w:cs="Times New Roman"/>
      <w:b/>
      <w:bCs/>
      <w:color w:val="auto"/>
      <w:kern w:val="0"/>
      <w:sz w:val="22"/>
      <w:szCs w:val="22"/>
      <w:lang w:val="it-IT" w:eastAsia="it-IT" w:bidi="ar-SA"/>
    </w:rPr>
  </w:style>
  <w:style w:type="paragraph" w:styleId="ListParagraph">
    <w:name w:val="List Paragraph"/>
    <w:qFormat/>
    <w:pPr>
      <w:widowControl/>
      <w:suppressAutoHyphens w:val="true"/>
      <w:bidi w:val="0"/>
      <w:spacing w:before="0" w:after="0"/>
      <w:jc w:val="start"/>
    </w:pPr>
    <w:rPr>
      <w:rFonts w:ascii="Times New Roman" w:hAnsi="Times New Roman" w:eastAsia="Times New Roman" w:cs="Times New Roman"/>
      <w:color w:val="auto"/>
      <w:kern w:val="0"/>
      <w:sz w:val="22"/>
      <w:szCs w:val="22"/>
      <w:lang w:val="it-IT" w:eastAsia="it-IT" w:bidi="ar-SA"/>
    </w:rPr>
  </w:style>
  <w:style w:type="paragraph" w:styleId="FootnoteText">
    <w:name w:val="footnote text"/>
    <w:link w:val="TestonotaapidipaginaCarattere"/>
    <w:uiPriority w:val="99"/>
    <w:semiHidden/>
    <w:unhideWhenUsed/>
    <w:pPr>
      <w:widowControl/>
      <w:suppressAutoHyphens w:val="true"/>
      <w:bidi w:val="0"/>
      <w:spacing w:before="0" w:after="0"/>
      <w:jc w:val="start"/>
    </w:pPr>
    <w:rPr>
      <w:rFonts w:ascii="Times New Roman" w:hAnsi="Times New Roman" w:eastAsia="Times New Roman" w:cs="Times New Roman"/>
      <w:color w:val="auto"/>
      <w:kern w:val="0"/>
      <w:sz w:val="20"/>
      <w:szCs w:val="20"/>
      <w:lang w:val="it-IT" w:eastAsia="it-IT" w:bidi="ar-SA"/>
    </w:rPr>
  </w:style>
  <w:style w:type="paragraph" w:styleId="EndnoteText">
    <w:name w:val="endnote text"/>
    <w:link w:val="TestonotadichiusuraCarattere"/>
    <w:uiPriority w:val="99"/>
    <w:semiHidden/>
    <w:unhideWhenUsed/>
    <w:pPr>
      <w:widowControl/>
      <w:suppressAutoHyphens w:val="true"/>
      <w:bidi w:val="0"/>
      <w:spacing w:before="0" w:after="0"/>
      <w:jc w:val="start"/>
    </w:pPr>
    <w:rPr>
      <w:rFonts w:ascii="Times New Roman" w:hAnsi="Times New Roman" w:eastAsia="Times New Roman" w:cs="Times New Roman"/>
      <w:color w:val="auto"/>
      <w:kern w:val="0"/>
      <w:sz w:val="20"/>
      <w:szCs w:val="20"/>
      <w:lang w:val="it-IT" w:eastAsia="it-IT" w:bidi="ar-SA"/>
    </w:rPr>
  </w:style>
  <w:style w:type="paragraph" w:styleId="Intestazioneepidipaginauser">
    <w:name w:val="Intestazione e piè di pagina (user)"/>
    <w:basedOn w:val="Normal"/>
    <w:qFormat/>
    <w:pPr/>
    <w:rPr/>
  </w:style>
  <w:style w:type="paragraph" w:styleId="Intestazioneepidipagina">
    <w:name w:val="Intestazione e piè di pagina"/>
    <w:basedOn w:val="Normal"/>
    <w:qFormat/>
    <w:pPr/>
    <w:rPr/>
  </w:style>
  <w:style w:type="paragraph" w:styleId="Footer">
    <w:name w:val="footer"/>
    <w:basedOn w:val="Intestazioneepidipaginauser"/>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82</TotalTime>
  <Application>LibreOffice/26.2.5.2$Windows_X86_64 LibreOffice_project/cd7284b4cbbfeb507e630c1aac019f4157393acb</Application>
  <AppVersion>15.0000</AppVersion>
  <Pages>6</Pages>
  <Words>2458</Words>
  <Characters>15112</Characters>
  <CharactersWithSpaces>17489</CharactersWithSpaces>
  <Paragraphs>104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2026-08-23T15:32:00Z</dcterms:created>
  <dc:creator>Un-named</dc:creator>
  <dc:description/>
  <dc:language>it-IT</dc:language>
  <cp:lastModifiedBy/>
  <dcterms:modified xsi:type="dcterms:W3CDTF">2026-09-09T11:25:57Z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